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0" w:type="dxa"/>
        <w:tblLook w:val="04A0" w:firstRow="1" w:lastRow="0" w:firstColumn="1" w:lastColumn="0" w:noHBand="0" w:noVBand="1"/>
      </w:tblPr>
      <w:tblGrid>
        <w:gridCol w:w="287"/>
        <w:gridCol w:w="155"/>
        <w:gridCol w:w="528"/>
        <w:gridCol w:w="970"/>
        <w:gridCol w:w="970"/>
        <w:gridCol w:w="970"/>
        <w:gridCol w:w="970"/>
        <w:gridCol w:w="970"/>
        <w:gridCol w:w="970"/>
        <w:gridCol w:w="970"/>
        <w:gridCol w:w="970"/>
        <w:gridCol w:w="970"/>
      </w:tblGrid>
      <w:tr w:rsidR="00EC6750" w:rsidRPr="00EC6750" w:rsidTr="00EC6750">
        <w:trPr>
          <w:trHeight w:val="690"/>
        </w:trPr>
        <w:tc>
          <w:tcPr>
            <w:tcW w:w="9700" w:type="dxa"/>
            <w:gridSpan w:val="12"/>
            <w:tcBorders>
              <w:top w:val="nil"/>
              <w:left w:val="nil"/>
              <w:bottom w:val="single" w:sz="12" w:space="0" w:color="0070C0"/>
              <w:right w:val="nil"/>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b/>
                <w:bCs/>
                <w:sz w:val="52"/>
                <w:szCs w:val="52"/>
                <w:lang w:eastAsia="en-AU"/>
              </w:rPr>
            </w:pPr>
            <w:bookmarkStart w:id="0" w:name="_GoBack"/>
            <w:bookmarkEnd w:id="0"/>
            <w:r w:rsidRPr="00EC6750">
              <w:rPr>
                <w:rFonts w:ascii="Arial" w:eastAsia="Times New Roman" w:hAnsi="Arial" w:cs="Arial"/>
                <w:b/>
                <w:bCs/>
                <w:sz w:val="52"/>
                <w:szCs w:val="52"/>
                <w:lang w:eastAsia="en-AU"/>
              </w:rPr>
              <w:t>Statement of Advice Text</w:t>
            </w:r>
          </w:p>
        </w:tc>
      </w:tr>
      <w:tr w:rsidR="00EC6750" w:rsidRPr="00EC6750" w:rsidTr="00EC6750">
        <w:trPr>
          <w:trHeight w:val="150"/>
        </w:trPr>
        <w:tc>
          <w:tcPr>
            <w:tcW w:w="970" w:type="dxa"/>
            <w:gridSpan w:val="3"/>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b/>
                <w:bCs/>
                <w:sz w:val="52"/>
                <w:szCs w:val="52"/>
                <w:lang w:eastAsia="en-AU"/>
              </w:rPr>
            </w:pPr>
          </w:p>
        </w:tc>
        <w:tc>
          <w:tcPr>
            <w:tcW w:w="970" w:type="dxa"/>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bottom"/>
            <w:hideMark/>
          </w:tcPr>
          <w:p w:rsidR="00EC6750" w:rsidRPr="00EC6750" w:rsidRDefault="00EC6750" w:rsidP="00EC6750">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bottom"/>
            <w:hideMark/>
          </w:tcPr>
          <w:p w:rsidR="00EC6750" w:rsidRPr="00EC6750" w:rsidRDefault="00EC6750" w:rsidP="00EC6750">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bottom"/>
            <w:hideMark/>
          </w:tcPr>
          <w:p w:rsidR="00EC6750" w:rsidRPr="00EC6750" w:rsidRDefault="00EC6750" w:rsidP="00EC6750">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bottom"/>
            <w:hideMark/>
          </w:tcPr>
          <w:p w:rsidR="00EC6750" w:rsidRPr="00EC6750" w:rsidRDefault="00EC6750" w:rsidP="00EC6750">
            <w:pPr>
              <w:spacing w:after="0" w:line="240" w:lineRule="auto"/>
              <w:rPr>
                <w:rFonts w:ascii="Times New Roman" w:eastAsia="Times New Roman" w:hAnsi="Times New Roman" w:cs="Times New Roman"/>
                <w:sz w:val="20"/>
                <w:szCs w:val="20"/>
                <w:lang w:eastAsia="en-AU"/>
              </w:rPr>
            </w:pPr>
          </w:p>
        </w:tc>
        <w:tc>
          <w:tcPr>
            <w:tcW w:w="970" w:type="dxa"/>
            <w:tcBorders>
              <w:top w:val="nil"/>
              <w:left w:val="nil"/>
              <w:bottom w:val="nil"/>
              <w:right w:val="nil"/>
            </w:tcBorders>
            <w:shd w:val="clear" w:color="auto" w:fill="auto"/>
            <w:noWrap/>
            <w:vAlign w:val="bottom"/>
            <w:hideMark/>
          </w:tcPr>
          <w:p w:rsidR="00EC6750" w:rsidRPr="00EC6750" w:rsidRDefault="00EC6750" w:rsidP="00EC6750">
            <w:pPr>
              <w:spacing w:after="0" w:line="240" w:lineRule="auto"/>
              <w:rPr>
                <w:rFonts w:ascii="Times New Roman" w:eastAsia="Times New Roman" w:hAnsi="Times New Roman" w:cs="Times New Roman"/>
                <w:sz w:val="20"/>
                <w:szCs w:val="20"/>
                <w:lang w:eastAsia="en-AU"/>
              </w:rPr>
            </w:pPr>
          </w:p>
        </w:tc>
      </w:tr>
      <w:tr w:rsidR="00EC6750" w:rsidRPr="00EC6750" w:rsidTr="00EC6750">
        <w:trPr>
          <w:trHeight w:val="465"/>
        </w:trPr>
        <w:tc>
          <w:tcPr>
            <w:tcW w:w="9700" w:type="dxa"/>
            <w:gridSpan w:val="12"/>
            <w:tcBorders>
              <w:top w:val="nil"/>
              <w:left w:val="nil"/>
              <w:bottom w:val="nil"/>
              <w:right w:val="nil"/>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b/>
                <w:bCs/>
                <w:color w:val="A6A6A6"/>
                <w:sz w:val="36"/>
                <w:szCs w:val="36"/>
                <w:lang w:eastAsia="en-AU"/>
              </w:rPr>
            </w:pPr>
            <w:r w:rsidRPr="00EC6750">
              <w:rPr>
                <w:rFonts w:ascii="Arial" w:eastAsia="Times New Roman" w:hAnsi="Arial" w:cs="Arial"/>
                <w:b/>
                <w:bCs/>
                <w:color w:val="A6A6A6"/>
                <w:sz w:val="36"/>
                <w:szCs w:val="36"/>
                <w:lang w:eastAsia="en-AU"/>
              </w:rPr>
              <w:t xml:space="preserve"> Core Model Portfolio</w:t>
            </w:r>
          </w:p>
        </w:tc>
      </w:tr>
      <w:tr w:rsidR="00EC6750" w:rsidRPr="00EC6750" w:rsidTr="00EC6750">
        <w:trPr>
          <w:trHeight w:val="360"/>
        </w:trPr>
        <w:tc>
          <w:tcPr>
            <w:tcW w:w="9700" w:type="dxa"/>
            <w:gridSpan w:val="12"/>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b/>
                <w:bCs/>
                <w:sz w:val="28"/>
                <w:szCs w:val="28"/>
                <w:lang w:eastAsia="en-AU"/>
              </w:rPr>
            </w:pPr>
            <w:r w:rsidRPr="00EC6750">
              <w:rPr>
                <w:rFonts w:ascii="Arial" w:eastAsia="Times New Roman" w:hAnsi="Arial" w:cs="Arial"/>
                <w:b/>
                <w:bCs/>
                <w:sz w:val="28"/>
                <w:szCs w:val="28"/>
                <w:lang w:eastAsia="en-AU"/>
              </w:rPr>
              <w:t xml:space="preserve">          Portfolio Methodology</w:t>
            </w:r>
          </w:p>
        </w:tc>
      </w:tr>
      <w:tr w:rsidR="00EC6750" w:rsidRPr="00EC6750" w:rsidTr="00EC6750">
        <w:trPr>
          <w:trHeight w:val="900"/>
        </w:trPr>
        <w:tc>
          <w:tcPr>
            <w:tcW w:w="287" w:type="dxa"/>
            <w:gridSpan w:val="2"/>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413" w:type="dxa"/>
            <w:gridSpan w:val="10"/>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The portfolio adopts a quantitative and qualitative approach to portfolio selection.  The portfolio was constructed based on the quantitative financial modelling from Morningstar Research with a qualitative overlay of our methodology.   </w:t>
            </w:r>
          </w:p>
        </w:tc>
      </w:tr>
      <w:tr w:rsidR="00EC6750" w:rsidRPr="00EC6750" w:rsidTr="00EC6750">
        <w:trPr>
          <w:trHeight w:val="1653"/>
        </w:trPr>
        <w:tc>
          <w:tcPr>
            <w:tcW w:w="287" w:type="dxa"/>
            <w:gridSpan w:val="2"/>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413" w:type="dxa"/>
            <w:gridSpan w:val="10"/>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The portfolio construction takes into account varying economic conditions and the expectations of each individual company's circumstances and forecasts. The methodology focuses on clean balance sheets, strong cash flows, management experience and history, diversification of business operations and strong projected earnings growth.  To achieve some of the fundamental portfolio requirements, a number of financial ratios, such as debt to equity (D/E), interest cover (IC), dividend yield, franking credits and earnings per share (EPS) growth, have been incorporated as standard ratios with minimum standards that each company must adhere to.</w:t>
            </w:r>
          </w:p>
        </w:tc>
      </w:tr>
      <w:tr w:rsidR="00EC6750" w:rsidRPr="00EC6750" w:rsidTr="00EC6750">
        <w:trPr>
          <w:trHeight w:val="1822"/>
        </w:trPr>
        <w:tc>
          <w:tcPr>
            <w:tcW w:w="287" w:type="dxa"/>
            <w:gridSpan w:val="2"/>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413" w:type="dxa"/>
            <w:gridSpan w:val="10"/>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Balance sheet and cash flow ratios are employed to reduce the risk of shareholder wealth being diluted due to the default or financial difficulties of companies held in the portfolio.  All companies selected must have a debt to equity ratio of less than 50% and a minimum interest cover of 2.5 times. Any company with debt to equity </w:t>
            </w:r>
            <w:proofErr w:type="gramStart"/>
            <w:r w:rsidRPr="00EC6750">
              <w:rPr>
                <w:rFonts w:ascii="Arial" w:eastAsia="Times New Roman" w:hAnsi="Arial" w:cs="Arial"/>
                <w:sz w:val="20"/>
                <w:szCs w:val="20"/>
                <w:lang w:eastAsia="en-AU"/>
              </w:rPr>
              <w:t>between 50% to 60%</w:t>
            </w:r>
            <w:proofErr w:type="gramEnd"/>
            <w:r w:rsidRPr="00EC6750">
              <w:rPr>
                <w:rFonts w:ascii="Arial" w:eastAsia="Times New Roman" w:hAnsi="Arial" w:cs="Arial"/>
                <w:sz w:val="20"/>
                <w:szCs w:val="20"/>
                <w:lang w:eastAsia="en-AU"/>
              </w:rPr>
              <w:t xml:space="preserve"> must have an interest cover of 5 times or any company with debt to equity between 60% to 70% must have an interest cover of 10 times. </w:t>
            </w:r>
            <w:proofErr w:type="spellStart"/>
            <w:proofErr w:type="gramStart"/>
            <w:r w:rsidRPr="00EC6750">
              <w:rPr>
                <w:rFonts w:ascii="Arial" w:eastAsia="Times New Roman" w:hAnsi="Arial" w:cs="Arial"/>
                <w:sz w:val="20"/>
                <w:szCs w:val="20"/>
                <w:lang w:eastAsia="en-AU"/>
              </w:rPr>
              <w:t>Company's</w:t>
            </w:r>
            <w:proofErr w:type="spellEnd"/>
            <w:proofErr w:type="gramEnd"/>
            <w:r w:rsidRPr="00EC6750">
              <w:rPr>
                <w:rFonts w:ascii="Arial" w:eastAsia="Times New Roman" w:hAnsi="Arial" w:cs="Arial"/>
                <w:sz w:val="20"/>
                <w:szCs w:val="20"/>
                <w:lang w:eastAsia="en-AU"/>
              </w:rPr>
              <w:t xml:space="preserve"> with Debt/Equity greater than 70% will not be considered. In addition, we have BXB as an exception due to their expected strong growth in free cash flows and exposure to solid momentum in the company's overseas operations.</w:t>
            </w:r>
          </w:p>
        </w:tc>
      </w:tr>
      <w:tr w:rsidR="00EC6750" w:rsidRPr="00EC6750" w:rsidTr="00EC6750">
        <w:trPr>
          <w:trHeight w:val="615"/>
        </w:trPr>
        <w:tc>
          <w:tcPr>
            <w:tcW w:w="287" w:type="dxa"/>
            <w:gridSpan w:val="2"/>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413" w:type="dxa"/>
            <w:gridSpan w:val="10"/>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A conservative approach has been applied to minimise the need for companies we invest in to come to market to raise capital and dilute existing shareholder equity.</w:t>
            </w:r>
          </w:p>
        </w:tc>
      </w:tr>
      <w:tr w:rsidR="00EC6750" w:rsidRPr="00EC6750" w:rsidTr="00EC6750">
        <w:trPr>
          <w:trHeight w:val="1665"/>
        </w:trPr>
        <w:tc>
          <w:tcPr>
            <w:tcW w:w="287" w:type="dxa"/>
            <w:gridSpan w:val="2"/>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413" w:type="dxa"/>
            <w:gridSpan w:val="10"/>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Diversification is important to minimise the risk to the investor and as a result a number of diversification techniques have been employed.  These include limiting individual sector exposure to no more than 50% or three times the S&amp;P/ASX100 index weight and limiting the individual exposure of any company within the range of 4% to 15% of the portfolio.  The portfolio is designed for long term investors with a minimum outlook of 5 years.  The portfolio does not take into account the investor's personal tax positions and/or any capital gain/loss positions.</w:t>
            </w:r>
          </w:p>
        </w:tc>
      </w:tr>
      <w:tr w:rsidR="00EC6750" w:rsidRPr="00EC6750" w:rsidTr="00EC6750">
        <w:trPr>
          <w:trHeight w:val="360"/>
        </w:trPr>
        <w:tc>
          <w:tcPr>
            <w:tcW w:w="9696" w:type="dxa"/>
            <w:gridSpan w:val="12"/>
            <w:tcBorders>
              <w:top w:val="nil"/>
              <w:left w:val="nil"/>
              <w:bottom w:val="nil"/>
              <w:right w:val="nil"/>
            </w:tcBorders>
            <w:shd w:val="clear" w:color="auto" w:fill="auto"/>
            <w:noWrap/>
            <w:hideMark/>
          </w:tcPr>
          <w:p w:rsidR="00EC6750" w:rsidRPr="00EC6750" w:rsidRDefault="00EC6750" w:rsidP="00EC6750">
            <w:pPr>
              <w:spacing w:after="0" w:line="240" w:lineRule="auto"/>
              <w:rPr>
                <w:rFonts w:ascii="Arial" w:eastAsia="Times New Roman" w:hAnsi="Arial" w:cs="Arial"/>
                <w:b/>
                <w:bCs/>
                <w:sz w:val="28"/>
                <w:szCs w:val="28"/>
                <w:lang w:eastAsia="en-AU"/>
              </w:rPr>
            </w:pPr>
            <w:r w:rsidRPr="00EC6750">
              <w:rPr>
                <w:rFonts w:ascii="Arial" w:eastAsia="Times New Roman" w:hAnsi="Arial" w:cs="Arial"/>
                <w:b/>
                <w:bCs/>
                <w:sz w:val="28"/>
                <w:szCs w:val="28"/>
                <w:lang w:eastAsia="en-AU"/>
              </w:rPr>
              <w:t xml:space="preserve">          Portfolio Parameters</w:t>
            </w:r>
          </w:p>
        </w:tc>
      </w:tr>
      <w:tr w:rsidR="00EC6750" w:rsidRPr="00EC6750" w:rsidTr="00EC6750">
        <w:trPr>
          <w:trHeight w:val="675"/>
        </w:trPr>
        <w:tc>
          <w:tcPr>
            <w:tcW w:w="132"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64" w:type="dxa"/>
            <w:gridSpan w:val="11"/>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The volatility for the Core Model Portfolio is expected to be close to or below the S&amp;P/ASX100 Index benchmark.</w:t>
            </w:r>
          </w:p>
        </w:tc>
      </w:tr>
      <w:tr w:rsidR="00EC6750" w:rsidRPr="00EC6750" w:rsidTr="00EC6750">
        <w:trPr>
          <w:trHeight w:val="870"/>
        </w:trPr>
        <w:tc>
          <w:tcPr>
            <w:tcW w:w="132"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64" w:type="dxa"/>
            <w:gridSpan w:val="11"/>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The Core Model portfolio will only select stocks within the S&amp;P/ASX 100 Index.  Where securities do not adhere to these specific requirements, a clear explanation will detail the basis of recommendations for breaching such requirements.</w:t>
            </w:r>
          </w:p>
        </w:tc>
      </w:tr>
      <w:tr w:rsidR="00EC6750" w:rsidRPr="00EC6750" w:rsidTr="00EC6750">
        <w:trPr>
          <w:trHeight w:val="1215"/>
        </w:trPr>
        <w:tc>
          <w:tcPr>
            <w:tcW w:w="132"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64" w:type="dxa"/>
            <w:gridSpan w:val="11"/>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The Core Model portfolio's objective is to allow each stock a minimum of 12 months to perform, unless certain conditions are not met and/or the underlying fundamentals of the company have changed as a result of unexpected situations such as profit warnings or significant unjustifiable price changes.  All stocks must have an individual weighting </w:t>
            </w:r>
            <w:proofErr w:type="gramStart"/>
            <w:r w:rsidRPr="00EC6750">
              <w:rPr>
                <w:rFonts w:ascii="Arial" w:eastAsia="Times New Roman" w:hAnsi="Arial" w:cs="Arial"/>
                <w:sz w:val="20"/>
                <w:szCs w:val="20"/>
                <w:lang w:eastAsia="en-AU"/>
              </w:rPr>
              <w:t>between 4% to 15%</w:t>
            </w:r>
            <w:proofErr w:type="gramEnd"/>
            <w:r w:rsidRPr="00EC6750">
              <w:rPr>
                <w:rFonts w:ascii="Arial" w:eastAsia="Times New Roman" w:hAnsi="Arial" w:cs="Arial"/>
                <w:sz w:val="20"/>
                <w:szCs w:val="20"/>
                <w:lang w:eastAsia="en-AU"/>
              </w:rPr>
              <w:t>.</w:t>
            </w:r>
          </w:p>
        </w:tc>
      </w:tr>
      <w:tr w:rsidR="00EC6750" w:rsidRPr="00EC6750" w:rsidTr="00EC6750">
        <w:trPr>
          <w:trHeight w:val="435"/>
        </w:trPr>
        <w:tc>
          <w:tcPr>
            <w:tcW w:w="132"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64" w:type="dxa"/>
            <w:gridSpan w:val="11"/>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The portfolio aims to achieve a franking level +/- 20% of the S&amp;P/ASX100 Index.</w:t>
            </w:r>
          </w:p>
        </w:tc>
      </w:tr>
      <w:tr w:rsidR="00EC6750" w:rsidRPr="00EC6750" w:rsidTr="00EC6750">
        <w:trPr>
          <w:trHeight w:val="450"/>
        </w:trPr>
        <w:tc>
          <w:tcPr>
            <w:tcW w:w="132"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64" w:type="dxa"/>
            <w:gridSpan w:val="11"/>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The portfolio aims to achieve a dividend yield of +/- 1</w:t>
            </w:r>
            <w:proofErr w:type="gramStart"/>
            <w:r w:rsidRPr="00EC6750">
              <w:rPr>
                <w:rFonts w:ascii="Arial" w:eastAsia="Times New Roman" w:hAnsi="Arial" w:cs="Arial"/>
                <w:sz w:val="20"/>
                <w:szCs w:val="20"/>
                <w:lang w:eastAsia="en-AU"/>
              </w:rPr>
              <w:t>%  of</w:t>
            </w:r>
            <w:proofErr w:type="gramEnd"/>
            <w:r w:rsidRPr="00EC6750">
              <w:rPr>
                <w:rFonts w:ascii="Arial" w:eastAsia="Times New Roman" w:hAnsi="Arial" w:cs="Arial"/>
                <w:sz w:val="20"/>
                <w:szCs w:val="20"/>
                <w:lang w:eastAsia="en-AU"/>
              </w:rPr>
              <w:t xml:space="preserve"> the S&amp;P/ASX100 Index.</w:t>
            </w:r>
          </w:p>
        </w:tc>
      </w:tr>
    </w:tbl>
    <w:p w:rsidR="00194493" w:rsidRDefault="00194493"/>
    <w:p w:rsidR="00EC6750" w:rsidRDefault="00EC6750"/>
    <w:p w:rsidR="00EC6750" w:rsidRDefault="00EC6750"/>
    <w:tbl>
      <w:tblPr>
        <w:tblW w:w="9696" w:type="dxa"/>
        <w:tblLook w:val="04A0" w:firstRow="1" w:lastRow="0" w:firstColumn="1" w:lastColumn="0" w:noHBand="0" w:noVBand="1"/>
      </w:tblPr>
      <w:tblGrid>
        <w:gridCol w:w="287"/>
        <w:gridCol w:w="752"/>
        <w:gridCol w:w="8657"/>
      </w:tblGrid>
      <w:tr w:rsidR="00EC6750" w:rsidRPr="00EC6750" w:rsidTr="00EC6750">
        <w:trPr>
          <w:trHeight w:val="465"/>
        </w:trPr>
        <w:tc>
          <w:tcPr>
            <w:tcW w:w="9696" w:type="dxa"/>
            <w:gridSpan w:val="3"/>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b/>
                <w:bCs/>
                <w:sz w:val="28"/>
                <w:szCs w:val="28"/>
                <w:lang w:eastAsia="en-AU"/>
              </w:rPr>
            </w:pPr>
            <w:r w:rsidRPr="00EC6750">
              <w:rPr>
                <w:rFonts w:ascii="Arial" w:eastAsia="Times New Roman" w:hAnsi="Arial" w:cs="Arial"/>
                <w:b/>
                <w:bCs/>
                <w:sz w:val="28"/>
                <w:szCs w:val="28"/>
                <w:lang w:eastAsia="en-AU"/>
              </w:rPr>
              <w:lastRenderedPageBreak/>
              <w:t xml:space="preserve">         Portfolio Commentary</w:t>
            </w:r>
          </w:p>
        </w:tc>
      </w:tr>
      <w:tr w:rsidR="00EC6750" w:rsidRPr="00EC6750" w:rsidTr="00EC6750">
        <w:trPr>
          <w:trHeight w:val="1845"/>
        </w:trPr>
        <w:tc>
          <w:tcPr>
            <w:tcW w:w="889" w:type="dxa"/>
            <w:gridSpan w:val="2"/>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8807" w:type="dxa"/>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There are 14 stocks within the Core Model portfolio. The stocks have been separated into five major economic sectors to reduce the overall risk of the portfolio. 22% has been allocated to the Materials sector. A 13% allocation has been made to the Industrial sector to provide the portfolio with appropriate diversification. 21% has been allocated to the Consumer &amp; Healthcare sectors. 44% of the portfolio allocation is allocated to the Financial sector to provide diversification but also to take advantage of the strong dividend yields and attractive valuations of quality blue-chip companies.  </w:t>
            </w:r>
          </w:p>
        </w:tc>
      </w:tr>
      <w:tr w:rsidR="00EC6750" w:rsidRPr="00EC6750" w:rsidTr="00EC6750">
        <w:trPr>
          <w:trHeight w:val="1965"/>
        </w:trPr>
        <w:tc>
          <w:tcPr>
            <w:tcW w:w="889" w:type="dxa"/>
            <w:gridSpan w:val="2"/>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8807" w:type="dxa"/>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The portfolio contains 14 stocks within the S&amp;P/ASX100 index.  The Core Model portfolio is forecast to have a weighted average EPS growth greater than 9.4%, the yield is expected to be around 5.3% and franking is anticipated to be greater than 60%. Seven companies are forecast to have fully franked dividends, which are; ABC, BHP, NAB, WBC, WES, DLX &amp; IAG.  The following stocks are expected to be partially or with no franking credits; AMC, BXB, CSL, GMG, MQG, SHL &amp; TCL.  The portfolio has a lower level of anticipated franking credits due to our preference for providing exposure towards stocks with some overseas operations. This is due to the fact that these </w:t>
            </w:r>
            <w:proofErr w:type="spellStart"/>
            <w:r w:rsidRPr="00EC6750">
              <w:rPr>
                <w:rFonts w:ascii="Arial" w:eastAsia="Times New Roman" w:hAnsi="Arial" w:cs="Arial"/>
                <w:sz w:val="20"/>
                <w:szCs w:val="20"/>
                <w:lang w:eastAsia="en-AU"/>
              </w:rPr>
              <w:t>company's</w:t>
            </w:r>
            <w:proofErr w:type="spellEnd"/>
            <w:r w:rsidRPr="00EC6750">
              <w:rPr>
                <w:rFonts w:ascii="Arial" w:eastAsia="Times New Roman" w:hAnsi="Arial" w:cs="Arial"/>
                <w:sz w:val="20"/>
                <w:szCs w:val="20"/>
                <w:lang w:eastAsia="en-AU"/>
              </w:rPr>
              <w:t xml:space="preserve"> are benefitting from both a downward movement in the Australian dollar as well as greater earnings momentum globally, relative to their domestic counterparts.</w:t>
            </w:r>
          </w:p>
        </w:tc>
      </w:tr>
      <w:tr w:rsidR="00EC6750" w:rsidRPr="00EC6750" w:rsidTr="00EC6750">
        <w:trPr>
          <w:trHeight w:val="1080"/>
        </w:trPr>
        <w:tc>
          <w:tcPr>
            <w:tcW w:w="889" w:type="dxa"/>
            <w:gridSpan w:val="2"/>
            <w:tcBorders>
              <w:top w:val="nil"/>
              <w:left w:val="nil"/>
              <w:bottom w:val="nil"/>
              <w:right w:val="nil"/>
            </w:tcBorders>
            <w:shd w:val="clear" w:color="auto" w:fill="auto"/>
            <w:hideMark/>
          </w:tcPr>
          <w:p w:rsidR="00EC6750" w:rsidRPr="00EC6750" w:rsidRDefault="00EC6750" w:rsidP="00EC6750">
            <w:pPr>
              <w:spacing w:after="0" w:line="240" w:lineRule="auto"/>
              <w:jc w:val="right"/>
              <w:rPr>
                <w:rFonts w:ascii="Arial" w:eastAsia="Times New Roman" w:hAnsi="Arial" w:cs="Arial"/>
                <w:b/>
                <w:bCs/>
                <w:sz w:val="20"/>
                <w:szCs w:val="20"/>
                <w:lang w:eastAsia="en-AU"/>
              </w:rPr>
            </w:pPr>
            <w:r w:rsidRPr="00EC6750">
              <w:rPr>
                <w:rFonts w:ascii="Arial" w:eastAsia="Times New Roman" w:hAnsi="Arial" w:cs="Arial"/>
                <w:b/>
                <w:bCs/>
                <w:sz w:val="20"/>
                <w:szCs w:val="20"/>
                <w:lang w:eastAsia="en-AU"/>
              </w:rPr>
              <w:t>•</w:t>
            </w:r>
          </w:p>
        </w:tc>
        <w:tc>
          <w:tcPr>
            <w:tcW w:w="8807" w:type="dxa"/>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Please note, the current Morningstar recommendation for WES, ABC &amp; BHP is at '2 Stars'. We feel that these companies still represent the best quality exposures in their respective sectors and currently trade at above Morningstar's fair value given their strong competitive positions, superior cash flows and increasing returns to shareholders.</w:t>
            </w:r>
          </w:p>
        </w:tc>
      </w:tr>
      <w:tr w:rsidR="00EC6750" w:rsidRPr="00EC6750" w:rsidTr="00EC6750">
        <w:trPr>
          <w:trHeight w:val="525"/>
        </w:trPr>
        <w:tc>
          <w:tcPr>
            <w:tcW w:w="9696" w:type="dxa"/>
            <w:gridSpan w:val="3"/>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b/>
                <w:bCs/>
                <w:sz w:val="28"/>
                <w:szCs w:val="28"/>
                <w:lang w:eastAsia="en-AU"/>
              </w:rPr>
            </w:pPr>
            <w:r w:rsidRPr="00EC6750">
              <w:rPr>
                <w:rFonts w:ascii="Arial" w:eastAsia="Times New Roman" w:hAnsi="Arial" w:cs="Arial"/>
                <w:b/>
                <w:bCs/>
                <w:sz w:val="28"/>
                <w:szCs w:val="28"/>
                <w:lang w:eastAsia="en-AU"/>
              </w:rPr>
              <w:t xml:space="preserve">         Stock Commentary</w:t>
            </w: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National Australia Bank Limited (NAB)    National Australia Bank provided 2018 full year results summary. Net Interest Margin was flat at 1.85% but excluding Markets and Treasury increased 3 basis points (bps), reflecting the impact of prior period repricing and lower funding costs, partly offset by the bank levy and home lending competition. Expenses rose 17.8% but excluding restructuring-related costs and customer-related remediation increased 6.4%, mainly due to acceleration of investment spend announced in FY 2017. Revenue up 0.5% but excluding customer-related remediation rose 1.8% mainly reflecting growth in housing and business lending and stable margins, partly offset by lower Markets &amp; Treasury income. </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Sonic Healthcare Limited (SHL)    No significant news or reports from the company in November</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Westpac Banking Corporation (WBC)    Westpac Banking provided FY 2018 Presentation and Investor Discussion Pack. The Company reported that the Balance sheet in good shape across all dimensions. The reported net profit after tax for the period FY 2018 was $8,095m. The Australian banking customers reached 11m. The Income is down 3% over the half; mostly from margin decline and customer remediation. The Customer numbers are up 2%. </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Wesfarmers Limited (WES)    Wesfarmers announced that the scheme of arrangement for the demerger of Coles Group (Coles) from Company was implemented. The number of Coles FPO shares on issue is 1,333.93m. </w:t>
            </w:r>
            <w:proofErr w:type="gramStart"/>
            <w:r w:rsidRPr="00EC6750">
              <w:rPr>
                <w:rFonts w:ascii="Arial" w:eastAsia="Times New Roman" w:hAnsi="Arial" w:cs="Arial"/>
                <w:sz w:val="20"/>
                <w:szCs w:val="20"/>
                <w:lang w:eastAsia="en-AU"/>
              </w:rPr>
              <w:t>Coles</w:t>
            </w:r>
            <w:proofErr w:type="gramEnd"/>
            <w:r w:rsidRPr="00EC6750">
              <w:rPr>
                <w:rFonts w:ascii="Arial" w:eastAsia="Times New Roman" w:hAnsi="Arial" w:cs="Arial"/>
                <w:sz w:val="20"/>
                <w:szCs w:val="20"/>
                <w:lang w:eastAsia="en-AU"/>
              </w:rPr>
              <w:t xml:space="preserve"> shares will commence trading on the ASX on a normal settlement basis on 29 November 2018. Holding statements will be dispatched to </w:t>
            </w:r>
            <w:proofErr w:type="gramStart"/>
            <w:r w:rsidRPr="00EC6750">
              <w:rPr>
                <w:rFonts w:ascii="Arial" w:eastAsia="Times New Roman" w:hAnsi="Arial" w:cs="Arial"/>
                <w:sz w:val="20"/>
                <w:szCs w:val="20"/>
                <w:lang w:eastAsia="en-AU"/>
              </w:rPr>
              <w:t>Coles</w:t>
            </w:r>
            <w:proofErr w:type="gramEnd"/>
            <w:r w:rsidRPr="00EC6750">
              <w:rPr>
                <w:rFonts w:ascii="Arial" w:eastAsia="Times New Roman" w:hAnsi="Arial" w:cs="Arial"/>
                <w:sz w:val="20"/>
                <w:szCs w:val="20"/>
                <w:lang w:eastAsia="en-AU"/>
              </w:rPr>
              <w:t xml:space="preserve"> shareholders on 30 November 2018.</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proofErr w:type="spellStart"/>
            <w:r w:rsidRPr="00EC6750">
              <w:rPr>
                <w:rFonts w:ascii="Arial" w:eastAsia="Times New Roman" w:hAnsi="Arial" w:cs="Arial"/>
                <w:sz w:val="20"/>
                <w:szCs w:val="20"/>
                <w:lang w:eastAsia="en-AU"/>
              </w:rPr>
              <w:t>Transurban</w:t>
            </w:r>
            <w:proofErr w:type="spellEnd"/>
            <w:r w:rsidRPr="00EC6750">
              <w:rPr>
                <w:rFonts w:ascii="Arial" w:eastAsia="Times New Roman" w:hAnsi="Arial" w:cs="Arial"/>
                <w:sz w:val="20"/>
                <w:szCs w:val="20"/>
                <w:lang w:eastAsia="en-AU"/>
              </w:rPr>
              <w:t xml:space="preserve"> Group (TCL)    No significant news or reports from the company in November</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proofErr w:type="spellStart"/>
            <w:r w:rsidRPr="00EC6750">
              <w:rPr>
                <w:rFonts w:ascii="Arial" w:eastAsia="Times New Roman" w:hAnsi="Arial" w:cs="Arial"/>
                <w:sz w:val="20"/>
                <w:szCs w:val="20"/>
                <w:lang w:eastAsia="en-AU"/>
              </w:rPr>
              <w:t>Dexus</w:t>
            </w:r>
            <w:proofErr w:type="spellEnd"/>
            <w:r w:rsidRPr="00EC6750">
              <w:rPr>
                <w:rFonts w:ascii="Arial" w:eastAsia="Times New Roman" w:hAnsi="Arial" w:cs="Arial"/>
                <w:sz w:val="20"/>
                <w:szCs w:val="20"/>
                <w:lang w:eastAsia="en-AU"/>
              </w:rPr>
              <w:t xml:space="preserve"> Property Group (DXS)    DEXUS Property Group announced that 57 of its 111 properties, comprising 23 office properties and 34 industrial properties have been externally valued as at 30 June 2016, reflecting 45%1 of the total portfolio. Combined with internal valuations across the remainder of the portfolio, this has resulted in an estimated $220m or 2% increase on prior book values for the six months to 30 June 2016. Taking into account the valuation uplifts booked at September 2015 and December 2015, this has resulted in an estimated $754m or 7.4% increase on prior book values for the 12 months to 30 June 2016.</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lastRenderedPageBreak/>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Macquarie Group Limited (MQG)    Macquarie Group announced a NPAT attributable to ordinary shareholders of $A1,310m for the half-year ended 30 September 2018 (1H 2019), up 5% on the half-year ended 30 September 2017 (1H 2018) and in line with the half-year ended 31 March 2018 (2H 2018). Net operating income is $A5</w:t>
            </w:r>
            <w:proofErr w:type="gramStart"/>
            <w:r w:rsidRPr="00EC6750">
              <w:rPr>
                <w:rFonts w:ascii="Arial" w:eastAsia="Times New Roman" w:hAnsi="Arial" w:cs="Arial"/>
                <w:sz w:val="20"/>
                <w:szCs w:val="20"/>
                <w:lang w:eastAsia="en-AU"/>
              </w:rPr>
              <w:t>,830m</w:t>
            </w:r>
            <w:proofErr w:type="gramEnd"/>
            <w:r w:rsidRPr="00EC6750">
              <w:rPr>
                <w:rFonts w:ascii="Arial" w:eastAsia="Times New Roman" w:hAnsi="Arial" w:cs="Arial"/>
                <w:sz w:val="20"/>
                <w:szCs w:val="20"/>
                <w:lang w:eastAsia="en-AU"/>
              </w:rPr>
              <w:t xml:space="preserve"> for 1H 2019 was up 8% on 1H 2018, while total operating expenses of $A4,125m were up 12% on 1H 2018. The income tax expense for 1H 2019 was $A374m, a 17% decrease from $A448m in 1H 2018. </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Brambles Limited (BXB)    No significant news or reports from the company in November</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Insurance Australia Group Limited (IAG)    No significant news or reports from the company in November</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Adelaide Brighton Limited (ABC)    No significant news or reports from the company in November</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Amcor Limited (AMC)    No significant news or reports from the company in November</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Goodman Group (GMG)    Goodman Group provided Q1 FY19 operational update. The Company reported that total assets under management is $39.6bn. The Company is benefiting from positive structural and macro trends, due to the quality and location of its portfolio. It reported 98% occupancy across the Group and Partnerships. The Company noted that $3.6bn of development work is in progress. </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APA Group (APA)    APA Group provided Macquarie Australia Conference Presentation. Interest rates payable on bonds maturing FY2018 - FY2021 are </w:t>
            </w:r>
            <w:proofErr w:type="gramStart"/>
            <w:r w:rsidRPr="00EC6750">
              <w:rPr>
                <w:rFonts w:ascii="Arial" w:eastAsia="Times New Roman" w:hAnsi="Arial" w:cs="Arial"/>
                <w:sz w:val="20"/>
                <w:szCs w:val="20"/>
                <w:lang w:eastAsia="en-AU"/>
              </w:rPr>
              <w:t>between 6.8% to 11.9%</w:t>
            </w:r>
            <w:proofErr w:type="gramEnd"/>
            <w:r w:rsidRPr="00EC6750">
              <w:rPr>
                <w:rFonts w:ascii="Arial" w:eastAsia="Times New Roman" w:hAnsi="Arial" w:cs="Arial"/>
                <w:sz w:val="20"/>
                <w:szCs w:val="20"/>
                <w:lang w:eastAsia="en-AU"/>
              </w:rPr>
              <w:t xml:space="preserve">. It is on track to achieve FY2018 EBITDA guidance forecast. The Company can issue debt into the global capital markets at fixed rates in A$ of less than 5% p.a. It Projected WACD to FY2036 averages 5.3% p.a. using the forward curve. </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Default="00EC6750" w:rsidP="00EC6750">
            <w:pPr>
              <w:spacing w:after="0" w:line="240" w:lineRule="auto"/>
              <w:rPr>
                <w:rFonts w:ascii="Arial" w:eastAsia="Times New Roman" w:hAnsi="Arial" w:cs="Arial"/>
                <w:sz w:val="20"/>
                <w:szCs w:val="20"/>
                <w:lang w:eastAsia="en-AU"/>
              </w:rPr>
            </w:pPr>
            <w:r w:rsidRPr="00EC6750">
              <w:rPr>
                <w:rFonts w:ascii="Arial" w:eastAsia="Times New Roman" w:hAnsi="Arial" w:cs="Arial"/>
                <w:sz w:val="20"/>
                <w:szCs w:val="20"/>
                <w:lang w:eastAsia="en-AU"/>
              </w:rPr>
              <w:t xml:space="preserve">BHP Billiton Limited (BHP)    BHP Billiton announced that it plans to return US$10.4bn to its shareholders through the combination of an off-market buy-back and a special dividend. The program will commence immediately with </w:t>
            </w:r>
            <w:proofErr w:type="spellStart"/>
            <w:r w:rsidRPr="00EC6750">
              <w:rPr>
                <w:rFonts w:ascii="Arial" w:eastAsia="Times New Roman" w:hAnsi="Arial" w:cs="Arial"/>
                <w:sz w:val="20"/>
                <w:szCs w:val="20"/>
                <w:lang w:eastAsia="en-AU"/>
              </w:rPr>
              <w:t>Coampny</w:t>
            </w:r>
            <w:proofErr w:type="spellEnd"/>
            <w:r w:rsidRPr="00EC6750">
              <w:rPr>
                <w:rFonts w:ascii="Arial" w:eastAsia="Times New Roman" w:hAnsi="Arial" w:cs="Arial"/>
                <w:sz w:val="20"/>
                <w:szCs w:val="20"/>
                <w:lang w:eastAsia="en-AU"/>
              </w:rPr>
              <w:t xml:space="preserve"> targeting an off-market buy-back of A$7.3 </w:t>
            </w:r>
            <w:proofErr w:type="spellStart"/>
            <w:r w:rsidRPr="00EC6750">
              <w:rPr>
                <w:rFonts w:ascii="Arial" w:eastAsia="Times New Roman" w:hAnsi="Arial" w:cs="Arial"/>
                <w:sz w:val="20"/>
                <w:szCs w:val="20"/>
                <w:lang w:eastAsia="en-AU"/>
              </w:rPr>
              <w:t>bn</w:t>
            </w:r>
            <w:proofErr w:type="spellEnd"/>
            <w:r w:rsidRPr="00EC6750">
              <w:rPr>
                <w:rFonts w:ascii="Arial" w:eastAsia="Times New Roman" w:hAnsi="Arial" w:cs="Arial"/>
                <w:sz w:val="20"/>
                <w:szCs w:val="20"/>
                <w:lang w:eastAsia="en-AU"/>
              </w:rPr>
              <w:t xml:space="preserve"> of its shares (Off-Market </w:t>
            </w:r>
            <w:proofErr w:type="spellStart"/>
            <w:r w:rsidRPr="00EC6750">
              <w:rPr>
                <w:rFonts w:ascii="Arial" w:eastAsia="Times New Roman" w:hAnsi="Arial" w:cs="Arial"/>
                <w:sz w:val="20"/>
                <w:szCs w:val="20"/>
                <w:lang w:eastAsia="en-AU"/>
              </w:rPr>
              <w:t>BuyBack</w:t>
            </w:r>
            <w:proofErr w:type="spellEnd"/>
            <w:r w:rsidRPr="00EC6750">
              <w:rPr>
                <w:rFonts w:ascii="Arial" w:eastAsia="Times New Roman" w:hAnsi="Arial" w:cs="Arial"/>
                <w:sz w:val="20"/>
                <w:szCs w:val="20"/>
                <w:lang w:eastAsia="en-AU"/>
              </w:rPr>
              <w:t xml:space="preserve">) under which it can buy back shares at up to a 14% discount. It intends to pay the balance of the net proceeds from the sale of its Onshore US assets (expected to be US$5.2bn) to all shareholders in the form of a special dividend (Special Dividend) to be determined following completion of the Off-Market Buy-Back, and to be payable in January 2019. </w:t>
            </w:r>
          </w:p>
          <w:p w:rsidR="00EC6750" w:rsidRPr="00EC6750" w:rsidRDefault="00EC6750" w:rsidP="00EC6750">
            <w:pPr>
              <w:spacing w:after="0" w:line="240" w:lineRule="auto"/>
              <w:rPr>
                <w:rFonts w:ascii="Arial" w:eastAsia="Times New Roman" w:hAnsi="Arial" w:cs="Arial"/>
                <w:sz w:val="20"/>
                <w:szCs w:val="20"/>
                <w:lang w:eastAsia="en-AU"/>
              </w:rPr>
            </w:pPr>
          </w:p>
        </w:tc>
      </w:tr>
      <w:tr w:rsidR="00EC6750" w:rsidRPr="00EC6750" w:rsidTr="00EC6750">
        <w:trPr>
          <w:trHeight w:val="255"/>
        </w:trPr>
        <w:tc>
          <w:tcPr>
            <w:tcW w:w="137" w:type="dxa"/>
            <w:tcBorders>
              <w:top w:val="nil"/>
              <w:left w:val="nil"/>
              <w:bottom w:val="nil"/>
              <w:right w:val="nil"/>
            </w:tcBorders>
            <w:shd w:val="clear" w:color="auto" w:fill="auto"/>
            <w:noWrap/>
            <w:hideMark/>
          </w:tcPr>
          <w:p w:rsidR="00EC6750" w:rsidRPr="00EC6750" w:rsidRDefault="00EC6750" w:rsidP="00EC6750">
            <w:pPr>
              <w:spacing w:after="0" w:line="240" w:lineRule="auto"/>
              <w:jc w:val="right"/>
              <w:rPr>
                <w:rFonts w:ascii="Arial" w:eastAsia="Times New Roman" w:hAnsi="Arial" w:cs="Arial"/>
                <w:sz w:val="20"/>
                <w:szCs w:val="20"/>
                <w:lang w:eastAsia="en-AU"/>
              </w:rPr>
            </w:pPr>
            <w:r w:rsidRPr="00EC6750">
              <w:rPr>
                <w:rFonts w:ascii="Arial" w:eastAsia="Times New Roman" w:hAnsi="Arial" w:cs="Arial"/>
                <w:sz w:val="20"/>
                <w:szCs w:val="20"/>
                <w:lang w:eastAsia="en-AU"/>
              </w:rPr>
              <w:t>•</w:t>
            </w:r>
          </w:p>
        </w:tc>
        <w:tc>
          <w:tcPr>
            <w:tcW w:w="9559" w:type="dxa"/>
            <w:gridSpan w:val="2"/>
            <w:tcBorders>
              <w:top w:val="nil"/>
              <w:left w:val="nil"/>
              <w:bottom w:val="nil"/>
              <w:right w:val="nil"/>
            </w:tcBorders>
            <w:shd w:val="clear" w:color="auto" w:fill="auto"/>
            <w:hideMark/>
          </w:tcPr>
          <w:p w:rsidR="00EC6750" w:rsidRPr="00EC6750" w:rsidRDefault="00EC6750" w:rsidP="00EC6750">
            <w:pPr>
              <w:spacing w:after="0" w:line="240" w:lineRule="auto"/>
              <w:rPr>
                <w:rFonts w:ascii="Arial" w:eastAsia="Times New Roman" w:hAnsi="Arial" w:cs="Arial"/>
                <w:sz w:val="20"/>
                <w:szCs w:val="20"/>
                <w:lang w:eastAsia="en-AU"/>
              </w:rPr>
            </w:pPr>
            <w:proofErr w:type="spellStart"/>
            <w:r w:rsidRPr="00EC6750">
              <w:rPr>
                <w:rFonts w:ascii="Arial" w:eastAsia="Times New Roman" w:hAnsi="Arial" w:cs="Arial"/>
                <w:sz w:val="20"/>
                <w:szCs w:val="20"/>
                <w:lang w:eastAsia="en-AU"/>
              </w:rPr>
              <w:t>DuluxGroup</w:t>
            </w:r>
            <w:proofErr w:type="spellEnd"/>
            <w:r w:rsidRPr="00EC6750">
              <w:rPr>
                <w:rFonts w:ascii="Arial" w:eastAsia="Times New Roman" w:hAnsi="Arial" w:cs="Arial"/>
                <w:sz w:val="20"/>
                <w:szCs w:val="20"/>
                <w:lang w:eastAsia="en-AU"/>
              </w:rPr>
              <w:t xml:space="preserve"> Limited (DLX)    </w:t>
            </w:r>
            <w:proofErr w:type="spellStart"/>
            <w:r w:rsidRPr="00EC6750">
              <w:rPr>
                <w:rFonts w:ascii="Arial" w:eastAsia="Times New Roman" w:hAnsi="Arial" w:cs="Arial"/>
                <w:sz w:val="20"/>
                <w:szCs w:val="20"/>
                <w:lang w:eastAsia="en-AU"/>
              </w:rPr>
              <w:t>DuluxGroup</w:t>
            </w:r>
            <w:proofErr w:type="spellEnd"/>
            <w:r w:rsidRPr="00EC6750">
              <w:rPr>
                <w:rFonts w:ascii="Arial" w:eastAsia="Times New Roman" w:hAnsi="Arial" w:cs="Arial"/>
                <w:sz w:val="20"/>
                <w:szCs w:val="20"/>
                <w:lang w:eastAsia="en-AU"/>
              </w:rPr>
              <w:t xml:space="preserve"> reported net profit after tax (NPAT) of $150.7m for the year ended 30 September 2018, an increase of 5.4% over 2017. Sales revenue increased by 3.3% to $1.84bn. Excluding the divested China coatings business, sales revenue grew 4.5%. Earnings before interest, tax, depreciation and amortisation (EBITDA) increased by 5.0% to $257.7m. Earnings before interest and tax (EBIT) increased by 4.2% to $223.2m. The Board has declared a final dividend of 14.0 cps, fully franked, taking the full year dividend to 28.0c, which represents a 5.7% increase on the prior year, and a 72% payout ratio on NPAT.</w:t>
            </w:r>
          </w:p>
        </w:tc>
      </w:tr>
    </w:tbl>
    <w:p w:rsidR="00EC6750" w:rsidRDefault="00EC6750"/>
    <w:p w:rsidR="00EC6750" w:rsidRDefault="00EC6750"/>
    <w:p w:rsidR="00EC6750" w:rsidRDefault="00EC6750"/>
    <w:p w:rsidR="00EC6750" w:rsidRDefault="00EC6750"/>
    <w:p w:rsidR="00EC6750" w:rsidRDefault="00EC6750"/>
    <w:p w:rsidR="00EC6750" w:rsidRDefault="00EC6750"/>
    <w:p w:rsidR="00EC6750" w:rsidRDefault="00EC6750"/>
    <w:p w:rsidR="00EC6750" w:rsidRDefault="00EC6750"/>
    <w:p w:rsidR="00EC6750" w:rsidRDefault="00EC6750"/>
    <w:tbl>
      <w:tblPr>
        <w:tblW w:w="8240" w:type="dxa"/>
        <w:tblLook w:val="04A0" w:firstRow="1" w:lastRow="0" w:firstColumn="1" w:lastColumn="0" w:noHBand="0" w:noVBand="1"/>
      </w:tblPr>
      <w:tblGrid>
        <w:gridCol w:w="790"/>
        <w:gridCol w:w="3122"/>
        <w:gridCol w:w="3017"/>
        <w:gridCol w:w="1311"/>
      </w:tblGrid>
      <w:tr w:rsidR="00EC6750" w:rsidRPr="00EC6750" w:rsidTr="00EC6750">
        <w:trPr>
          <w:trHeight w:val="360"/>
        </w:trPr>
        <w:tc>
          <w:tcPr>
            <w:tcW w:w="79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EC6750" w:rsidRPr="00EC6750" w:rsidRDefault="00EC6750" w:rsidP="00EC6750">
            <w:pPr>
              <w:spacing w:after="0" w:line="240" w:lineRule="auto"/>
              <w:jc w:val="center"/>
              <w:rPr>
                <w:rFonts w:ascii="Arial" w:eastAsia="Times New Roman" w:hAnsi="Arial" w:cs="Arial"/>
                <w:b/>
                <w:bCs/>
                <w:sz w:val="14"/>
                <w:szCs w:val="14"/>
                <w:lang w:eastAsia="en-AU"/>
              </w:rPr>
            </w:pPr>
            <w:r w:rsidRPr="00EC6750">
              <w:rPr>
                <w:rFonts w:ascii="Arial" w:eastAsia="Times New Roman" w:hAnsi="Arial" w:cs="Arial"/>
                <w:b/>
                <w:bCs/>
                <w:sz w:val="14"/>
                <w:szCs w:val="14"/>
                <w:lang w:eastAsia="en-AU"/>
              </w:rPr>
              <w:lastRenderedPageBreak/>
              <w:t>Code</w:t>
            </w:r>
          </w:p>
        </w:tc>
        <w:tc>
          <w:tcPr>
            <w:tcW w:w="3122" w:type="dxa"/>
            <w:vMerge w:val="restart"/>
            <w:tcBorders>
              <w:top w:val="single" w:sz="8" w:space="0" w:color="auto"/>
              <w:left w:val="single" w:sz="8" w:space="0" w:color="auto"/>
              <w:bottom w:val="single" w:sz="8" w:space="0" w:color="000000"/>
              <w:right w:val="single" w:sz="8" w:space="0" w:color="000000"/>
            </w:tcBorders>
            <w:shd w:val="clear" w:color="000000" w:fill="0070C0"/>
            <w:vAlign w:val="center"/>
            <w:hideMark/>
          </w:tcPr>
          <w:p w:rsidR="00EC6750" w:rsidRPr="00EC6750" w:rsidRDefault="00EC6750" w:rsidP="00EC6750">
            <w:pPr>
              <w:spacing w:after="0" w:line="240" w:lineRule="auto"/>
              <w:jc w:val="center"/>
              <w:rPr>
                <w:rFonts w:ascii="Arial" w:eastAsia="Times New Roman" w:hAnsi="Arial" w:cs="Arial"/>
                <w:b/>
                <w:bCs/>
                <w:sz w:val="14"/>
                <w:szCs w:val="14"/>
                <w:lang w:eastAsia="en-AU"/>
              </w:rPr>
            </w:pPr>
            <w:r w:rsidRPr="00EC6750">
              <w:rPr>
                <w:rFonts w:ascii="Arial" w:eastAsia="Times New Roman" w:hAnsi="Arial" w:cs="Arial"/>
                <w:b/>
                <w:bCs/>
                <w:sz w:val="14"/>
                <w:szCs w:val="14"/>
                <w:lang w:eastAsia="en-AU"/>
              </w:rPr>
              <w:t>Recommended Securities</w:t>
            </w:r>
          </w:p>
        </w:tc>
        <w:tc>
          <w:tcPr>
            <w:tcW w:w="3017" w:type="dxa"/>
            <w:vMerge w:val="restart"/>
            <w:tcBorders>
              <w:top w:val="single" w:sz="8" w:space="0" w:color="auto"/>
              <w:left w:val="single" w:sz="8" w:space="0" w:color="auto"/>
              <w:bottom w:val="single" w:sz="8" w:space="0" w:color="000000"/>
              <w:right w:val="single" w:sz="8" w:space="0" w:color="000000"/>
            </w:tcBorders>
            <w:shd w:val="clear" w:color="000000" w:fill="0070C0"/>
            <w:vAlign w:val="center"/>
            <w:hideMark/>
          </w:tcPr>
          <w:p w:rsidR="00EC6750" w:rsidRPr="00EC6750" w:rsidRDefault="00EC6750" w:rsidP="00EC6750">
            <w:pPr>
              <w:spacing w:after="0" w:line="240" w:lineRule="auto"/>
              <w:jc w:val="center"/>
              <w:rPr>
                <w:rFonts w:ascii="Arial" w:eastAsia="Times New Roman" w:hAnsi="Arial" w:cs="Arial"/>
                <w:b/>
                <w:bCs/>
                <w:sz w:val="14"/>
                <w:szCs w:val="14"/>
                <w:lang w:eastAsia="en-AU"/>
              </w:rPr>
            </w:pPr>
            <w:r w:rsidRPr="00EC6750">
              <w:rPr>
                <w:rFonts w:ascii="Arial" w:eastAsia="Times New Roman" w:hAnsi="Arial" w:cs="Arial"/>
                <w:b/>
                <w:bCs/>
                <w:sz w:val="14"/>
                <w:szCs w:val="14"/>
                <w:lang w:eastAsia="en-AU"/>
              </w:rPr>
              <w:t>Sector Exposure</w:t>
            </w:r>
          </w:p>
        </w:tc>
        <w:tc>
          <w:tcPr>
            <w:tcW w:w="1311" w:type="dxa"/>
            <w:vMerge w:val="restart"/>
            <w:tcBorders>
              <w:top w:val="single" w:sz="8" w:space="0" w:color="auto"/>
              <w:left w:val="single" w:sz="8" w:space="0" w:color="auto"/>
              <w:bottom w:val="single" w:sz="8" w:space="0" w:color="000000"/>
              <w:right w:val="single" w:sz="8" w:space="0" w:color="000000"/>
            </w:tcBorders>
            <w:shd w:val="clear" w:color="000000" w:fill="0070C0"/>
            <w:vAlign w:val="center"/>
            <w:hideMark/>
          </w:tcPr>
          <w:p w:rsidR="00EC6750" w:rsidRPr="00EC6750" w:rsidRDefault="00EC6750" w:rsidP="00EC6750">
            <w:pPr>
              <w:spacing w:after="0" w:line="240" w:lineRule="auto"/>
              <w:jc w:val="center"/>
              <w:rPr>
                <w:rFonts w:ascii="Arial" w:eastAsia="Times New Roman" w:hAnsi="Arial" w:cs="Arial"/>
                <w:b/>
                <w:bCs/>
                <w:sz w:val="14"/>
                <w:szCs w:val="14"/>
                <w:lang w:eastAsia="en-AU"/>
              </w:rPr>
            </w:pPr>
            <w:r w:rsidRPr="00EC6750">
              <w:rPr>
                <w:rFonts w:ascii="Arial" w:eastAsia="Times New Roman" w:hAnsi="Arial" w:cs="Arial"/>
                <w:b/>
                <w:bCs/>
                <w:sz w:val="14"/>
                <w:szCs w:val="14"/>
                <w:lang w:eastAsia="en-AU"/>
              </w:rPr>
              <w:t>Weighting (%)</w:t>
            </w:r>
          </w:p>
        </w:tc>
      </w:tr>
      <w:tr w:rsidR="00EC6750" w:rsidRPr="00EC6750" w:rsidTr="00EC6750">
        <w:trPr>
          <w:trHeight w:val="408"/>
        </w:trPr>
        <w:tc>
          <w:tcPr>
            <w:tcW w:w="790" w:type="dxa"/>
            <w:vMerge/>
            <w:tcBorders>
              <w:top w:val="single" w:sz="8" w:space="0" w:color="auto"/>
              <w:left w:val="single" w:sz="8" w:space="0" w:color="auto"/>
              <w:bottom w:val="single" w:sz="8" w:space="0" w:color="000000"/>
              <w:right w:val="single" w:sz="8" w:space="0" w:color="auto"/>
            </w:tcBorders>
            <w:vAlign w:val="center"/>
            <w:hideMark/>
          </w:tcPr>
          <w:p w:rsidR="00EC6750" w:rsidRPr="00EC6750" w:rsidRDefault="00EC6750" w:rsidP="00EC6750">
            <w:pPr>
              <w:spacing w:after="0" w:line="240" w:lineRule="auto"/>
              <w:rPr>
                <w:rFonts w:ascii="Arial" w:eastAsia="Times New Roman" w:hAnsi="Arial" w:cs="Arial"/>
                <w:b/>
                <w:bCs/>
                <w:sz w:val="14"/>
                <w:szCs w:val="14"/>
                <w:lang w:eastAsia="en-AU"/>
              </w:rPr>
            </w:pPr>
          </w:p>
        </w:tc>
        <w:tc>
          <w:tcPr>
            <w:tcW w:w="3122" w:type="dxa"/>
            <w:vMerge/>
            <w:tcBorders>
              <w:top w:val="single" w:sz="8" w:space="0" w:color="auto"/>
              <w:left w:val="single" w:sz="8" w:space="0" w:color="auto"/>
              <w:bottom w:val="single" w:sz="8" w:space="0" w:color="000000"/>
              <w:right w:val="single" w:sz="8" w:space="0" w:color="000000"/>
            </w:tcBorders>
            <w:vAlign w:val="center"/>
            <w:hideMark/>
          </w:tcPr>
          <w:p w:rsidR="00EC6750" w:rsidRPr="00EC6750" w:rsidRDefault="00EC6750" w:rsidP="00EC6750">
            <w:pPr>
              <w:spacing w:after="0" w:line="240" w:lineRule="auto"/>
              <w:rPr>
                <w:rFonts w:ascii="Arial" w:eastAsia="Times New Roman" w:hAnsi="Arial" w:cs="Arial"/>
                <w:b/>
                <w:bCs/>
                <w:sz w:val="14"/>
                <w:szCs w:val="14"/>
                <w:lang w:eastAsia="en-AU"/>
              </w:rPr>
            </w:pPr>
          </w:p>
        </w:tc>
        <w:tc>
          <w:tcPr>
            <w:tcW w:w="3017" w:type="dxa"/>
            <w:vMerge/>
            <w:tcBorders>
              <w:top w:val="single" w:sz="8" w:space="0" w:color="auto"/>
              <w:left w:val="single" w:sz="8" w:space="0" w:color="auto"/>
              <w:bottom w:val="single" w:sz="8" w:space="0" w:color="000000"/>
              <w:right w:val="single" w:sz="8" w:space="0" w:color="000000"/>
            </w:tcBorders>
            <w:vAlign w:val="center"/>
            <w:hideMark/>
          </w:tcPr>
          <w:p w:rsidR="00EC6750" w:rsidRPr="00EC6750" w:rsidRDefault="00EC6750" w:rsidP="00EC6750">
            <w:pPr>
              <w:spacing w:after="0" w:line="240" w:lineRule="auto"/>
              <w:rPr>
                <w:rFonts w:ascii="Arial" w:eastAsia="Times New Roman" w:hAnsi="Arial" w:cs="Arial"/>
                <w:b/>
                <w:bCs/>
                <w:sz w:val="14"/>
                <w:szCs w:val="14"/>
                <w:lang w:eastAsia="en-AU"/>
              </w:rPr>
            </w:pPr>
          </w:p>
        </w:tc>
        <w:tc>
          <w:tcPr>
            <w:tcW w:w="1311" w:type="dxa"/>
            <w:vMerge/>
            <w:tcBorders>
              <w:top w:val="single" w:sz="8" w:space="0" w:color="auto"/>
              <w:left w:val="single" w:sz="8" w:space="0" w:color="auto"/>
              <w:bottom w:val="single" w:sz="8" w:space="0" w:color="000000"/>
              <w:right w:val="single" w:sz="8" w:space="0" w:color="000000"/>
            </w:tcBorders>
            <w:vAlign w:val="center"/>
            <w:hideMark/>
          </w:tcPr>
          <w:p w:rsidR="00EC6750" w:rsidRPr="00EC6750" w:rsidRDefault="00EC6750" w:rsidP="00EC6750">
            <w:pPr>
              <w:spacing w:after="0" w:line="240" w:lineRule="auto"/>
              <w:rPr>
                <w:rFonts w:ascii="Arial" w:eastAsia="Times New Roman" w:hAnsi="Arial" w:cs="Arial"/>
                <w:b/>
                <w:bCs/>
                <w:sz w:val="14"/>
                <w:szCs w:val="14"/>
                <w:lang w:eastAsia="en-AU"/>
              </w:rPr>
            </w:pP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NAB</w:t>
            </w:r>
          </w:p>
        </w:tc>
        <w:tc>
          <w:tcPr>
            <w:tcW w:w="3122" w:type="dxa"/>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National Australia Bank Limited</w:t>
            </w:r>
          </w:p>
        </w:tc>
        <w:tc>
          <w:tcPr>
            <w:tcW w:w="3017" w:type="dxa"/>
            <w:tcBorders>
              <w:top w:val="nil"/>
              <w:left w:val="single" w:sz="8" w:space="0" w:color="auto"/>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Banks</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12.5%</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SHL</w:t>
            </w:r>
          </w:p>
        </w:tc>
        <w:tc>
          <w:tcPr>
            <w:tcW w:w="3122" w:type="dxa"/>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Sonic Healthcare Limited</w:t>
            </w:r>
          </w:p>
        </w:tc>
        <w:tc>
          <w:tcPr>
            <w:tcW w:w="3017" w:type="dxa"/>
            <w:tcBorders>
              <w:top w:val="nil"/>
              <w:left w:val="single" w:sz="8" w:space="0" w:color="auto"/>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Health Care Equipment &amp; Services</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6.0%</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WBC</w:t>
            </w:r>
          </w:p>
        </w:tc>
        <w:tc>
          <w:tcPr>
            <w:tcW w:w="3122" w:type="dxa"/>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Westpac Banking Corporation</w:t>
            </w:r>
          </w:p>
        </w:tc>
        <w:tc>
          <w:tcPr>
            <w:tcW w:w="3017" w:type="dxa"/>
            <w:tcBorders>
              <w:top w:val="nil"/>
              <w:left w:val="single" w:sz="8" w:space="0" w:color="auto"/>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Banks</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12.5%</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WES</w:t>
            </w:r>
          </w:p>
        </w:tc>
        <w:tc>
          <w:tcPr>
            <w:tcW w:w="3122" w:type="dxa"/>
            <w:tcBorders>
              <w:top w:val="nil"/>
              <w:left w:val="nil"/>
              <w:bottom w:val="nil"/>
              <w:right w:val="nil"/>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Wesfarmers Limited</w:t>
            </w:r>
          </w:p>
        </w:tc>
        <w:tc>
          <w:tcPr>
            <w:tcW w:w="3017" w:type="dxa"/>
            <w:tcBorders>
              <w:top w:val="nil"/>
              <w:left w:val="single" w:sz="8" w:space="0" w:color="auto"/>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Food &amp; Staples Retailing</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9.0%</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TCL</w:t>
            </w:r>
          </w:p>
        </w:tc>
        <w:tc>
          <w:tcPr>
            <w:tcW w:w="3122"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proofErr w:type="spellStart"/>
            <w:r w:rsidRPr="00EC6750">
              <w:rPr>
                <w:rFonts w:ascii="Arial" w:eastAsia="Times New Roman" w:hAnsi="Arial" w:cs="Arial"/>
                <w:sz w:val="14"/>
                <w:szCs w:val="14"/>
                <w:lang w:eastAsia="en-AU"/>
              </w:rPr>
              <w:t>Transurban</w:t>
            </w:r>
            <w:proofErr w:type="spellEnd"/>
            <w:r w:rsidRPr="00EC6750">
              <w:rPr>
                <w:rFonts w:ascii="Arial" w:eastAsia="Times New Roman" w:hAnsi="Arial" w:cs="Arial"/>
                <w:sz w:val="14"/>
                <w:szCs w:val="14"/>
                <w:lang w:eastAsia="en-AU"/>
              </w:rPr>
              <w:t xml:space="preserve"> Group</w:t>
            </w:r>
          </w:p>
        </w:tc>
        <w:tc>
          <w:tcPr>
            <w:tcW w:w="3017"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Transportation</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7.0%</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MQG</w:t>
            </w:r>
          </w:p>
        </w:tc>
        <w:tc>
          <w:tcPr>
            <w:tcW w:w="3122"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Macquarie Group Limited</w:t>
            </w:r>
          </w:p>
        </w:tc>
        <w:tc>
          <w:tcPr>
            <w:tcW w:w="3017"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Diversified Financials</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7.0%</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BXB</w:t>
            </w:r>
          </w:p>
        </w:tc>
        <w:tc>
          <w:tcPr>
            <w:tcW w:w="3122"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Brambles Limited</w:t>
            </w:r>
          </w:p>
        </w:tc>
        <w:tc>
          <w:tcPr>
            <w:tcW w:w="3017"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Commercial &amp; Professional Services</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6.0%</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IAG</w:t>
            </w:r>
          </w:p>
        </w:tc>
        <w:tc>
          <w:tcPr>
            <w:tcW w:w="3122"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Insurance Australia Group Limited</w:t>
            </w:r>
          </w:p>
        </w:tc>
        <w:tc>
          <w:tcPr>
            <w:tcW w:w="3017"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Insurance</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8.0%</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ABC</w:t>
            </w:r>
          </w:p>
        </w:tc>
        <w:tc>
          <w:tcPr>
            <w:tcW w:w="3122"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Adelaide Brighton Limited</w:t>
            </w:r>
          </w:p>
        </w:tc>
        <w:tc>
          <w:tcPr>
            <w:tcW w:w="3017"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Materials</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7.0%</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AMC</w:t>
            </w:r>
          </w:p>
        </w:tc>
        <w:tc>
          <w:tcPr>
            <w:tcW w:w="3122"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Amcor Limited</w:t>
            </w:r>
          </w:p>
        </w:tc>
        <w:tc>
          <w:tcPr>
            <w:tcW w:w="3017"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Materials</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5.0%</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CSL</w:t>
            </w:r>
          </w:p>
        </w:tc>
        <w:tc>
          <w:tcPr>
            <w:tcW w:w="3122"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CSL Limited</w:t>
            </w:r>
          </w:p>
        </w:tc>
        <w:tc>
          <w:tcPr>
            <w:tcW w:w="3017"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Pharmaceuticals, Biotechnology &amp; Life Sciences</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6.0%</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GMG</w:t>
            </w:r>
          </w:p>
        </w:tc>
        <w:tc>
          <w:tcPr>
            <w:tcW w:w="3122"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Goodman Group</w:t>
            </w:r>
          </w:p>
        </w:tc>
        <w:tc>
          <w:tcPr>
            <w:tcW w:w="3017"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Real Estate</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5.0%</w:t>
            </w:r>
          </w:p>
        </w:tc>
      </w:tr>
      <w:tr w:rsidR="00EC6750" w:rsidRPr="00EC6750" w:rsidTr="00EC6750">
        <w:trPr>
          <w:trHeight w:val="255"/>
        </w:trPr>
        <w:tc>
          <w:tcPr>
            <w:tcW w:w="790" w:type="dxa"/>
            <w:tcBorders>
              <w:top w:val="nil"/>
              <w:left w:val="single" w:sz="8" w:space="0" w:color="auto"/>
              <w:bottom w:val="nil"/>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BHP</w:t>
            </w:r>
          </w:p>
        </w:tc>
        <w:tc>
          <w:tcPr>
            <w:tcW w:w="3122"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BHP Billiton Limited</w:t>
            </w:r>
          </w:p>
        </w:tc>
        <w:tc>
          <w:tcPr>
            <w:tcW w:w="3017" w:type="dxa"/>
            <w:tcBorders>
              <w:top w:val="nil"/>
              <w:left w:val="nil"/>
              <w:bottom w:val="nil"/>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Materials</w:t>
            </w:r>
          </w:p>
        </w:tc>
        <w:tc>
          <w:tcPr>
            <w:tcW w:w="1311" w:type="dxa"/>
            <w:tcBorders>
              <w:top w:val="nil"/>
              <w:left w:val="nil"/>
              <w:bottom w:val="nil"/>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6.0%</w:t>
            </w:r>
          </w:p>
        </w:tc>
      </w:tr>
      <w:tr w:rsidR="00EC6750" w:rsidRPr="00EC6750" w:rsidTr="00EC6750">
        <w:trPr>
          <w:trHeight w:val="270"/>
        </w:trPr>
        <w:tc>
          <w:tcPr>
            <w:tcW w:w="790" w:type="dxa"/>
            <w:tcBorders>
              <w:top w:val="nil"/>
              <w:left w:val="single" w:sz="8" w:space="0" w:color="auto"/>
              <w:bottom w:val="single" w:sz="8" w:space="0" w:color="auto"/>
              <w:right w:val="single" w:sz="8" w:space="0" w:color="auto"/>
            </w:tcBorders>
            <w:shd w:val="clear" w:color="auto" w:fill="auto"/>
            <w:noWrap/>
            <w:vAlign w:val="center"/>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DLX</w:t>
            </w:r>
          </w:p>
        </w:tc>
        <w:tc>
          <w:tcPr>
            <w:tcW w:w="3122" w:type="dxa"/>
            <w:tcBorders>
              <w:top w:val="nil"/>
              <w:left w:val="nil"/>
              <w:bottom w:val="single" w:sz="8" w:space="0" w:color="auto"/>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proofErr w:type="spellStart"/>
            <w:r w:rsidRPr="00EC6750">
              <w:rPr>
                <w:rFonts w:ascii="Arial" w:eastAsia="Times New Roman" w:hAnsi="Arial" w:cs="Arial"/>
                <w:sz w:val="14"/>
                <w:szCs w:val="14"/>
                <w:lang w:eastAsia="en-AU"/>
              </w:rPr>
              <w:t>DuluxGroup</w:t>
            </w:r>
            <w:proofErr w:type="spellEnd"/>
            <w:r w:rsidRPr="00EC6750">
              <w:rPr>
                <w:rFonts w:ascii="Arial" w:eastAsia="Times New Roman" w:hAnsi="Arial" w:cs="Arial"/>
                <w:sz w:val="14"/>
                <w:szCs w:val="14"/>
                <w:lang w:eastAsia="en-AU"/>
              </w:rPr>
              <w:t xml:space="preserve"> Limited</w:t>
            </w:r>
          </w:p>
        </w:tc>
        <w:tc>
          <w:tcPr>
            <w:tcW w:w="3017" w:type="dxa"/>
            <w:tcBorders>
              <w:top w:val="nil"/>
              <w:left w:val="nil"/>
              <w:bottom w:val="single" w:sz="8" w:space="0" w:color="auto"/>
              <w:right w:val="single" w:sz="8" w:space="0" w:color="000000"/>
            </w:tcBorders>
            <w:shd w:val="clear" w:color="auto" w:fill="auto"/>
            <w:noWrap/>
            <w:vAlign w:val="center"/>
            <w:hideMark/>
          </w:tcPr>
          <w:p w:rsidR="00EC6750" w:rsidRPr="00EC6750" w:rsidRDefault="00EC6750" w:rsidP="00EC6750">
            <w:pPr>
              <w:spacing w:after="0" w:line="240" w:lineRule="auto"/>
              <w:rPr>
                <w:rFonts w:ascii="Arial" w:eastAsia="Times New Roman" w:hAnsi="Arial" w:cs="Arial"/>
                <w:sz w:val="14"/>
                <w:szCs w:val="14"/>
                <w:lang w:eastAsia="en-AU"/>
              </w:rPr>
            </w:pPr>
            <w:r w:rsidRPr="00EC6750">
              <w:rPr>
                <w:rFonts w:ascii="Arial" w:eastAsia="Times New Roman" w:hAnsi="Arial" w:cs="Arial"/>
                <w:sz w:val="14"/>
                <w:szCs w:val="14"/>
                <w:lang w:eastAsia="en-AU"/>
              </w:rPr>
              <w:t>Materials</w:t>
            </w:r>
          </w:p>
        </w:tc>
        <w:tc>
          <w:tcPr>
            <w:tcW w:w="1311" w:type="dxa"/>
            <w:tcBorders>
              <w:top w:val="nil"/>
              <w:left w:val="nil"/>
              <w:bottom w:val="single" w:sz="8" w:space="0" w:color="auto"/>
              <w:right w:val="single" w:sz="8" w:space="0" w:color="000000"/>
            </w:tcBorders>
            <w:shd w:val="clear" w:color="auto" w:fill="auto"/>
            <w:noWrap/>
            <w:vAlign w:val="bottom"/>
            <w:hideMark/>
          </w:tcPr>
          <w:p w:rsidR="00EC6750" w:rsidRPr="00EC6750" w:rsidRDefault="00EC6750" w:rsidP="00EC6750">
            <w:pPr>
              <w:spacing w:after="0" w:line="240" w:lineRule="auto"/>
              <w:jc w:val="center"/>
              <w:rPr>
                <w:rFonts w:ascii="Arial" w:eastAsia="Times New Roman" w:hAnsi="Arial" w:cs="Arial"/>
                <w:sz w:val="14"/>
                <w:szCs w:val="14"/>
                <w:lang w:eastAsia="en-AU"/>
              </w:rPr>
            </w:pPr>
            <w:r w:rsidRPr="00EC6750">
              <w:rPr>
                <w:rFonts w:ascii="Arial" w:eastAsia="Times New Roman" w:hAnsi="Arial" w:cs="Arial"/>
                <w:sz w:val="14"/>
                <w:szCs w:val="14"/>
                <w:lang w:eastAsia="en-AU"/>
              </w:rPr>
              <w:t>4.0%</w:t>
            </w:r>
          </w:p>
        </w:tc>
      </w:tr>
    </w:tbl>
    <w:p w:rsidR="00EC6750" w:rsidRDefault="00EC6750"/>
    <w:p w:rsidR="00EC6750" w:rsidRDefault="00EC6750">
      <w:r>
        <w:rPr>
          <w:noProof/>
          <w:lang w:eastAsia="en-AU"/>
        </w:rPr>
        <w:drawing>
          <wp:inline distT="0" distB="0" distL="0" distR="0" wp14:anchorId="241D7894" wp14:editId="077B5882">
            <wp:extent cx="5731510" cy="4286885"/>
            <wp:effectExtent l="19050" t="19050" r="21590" b="374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EC6750" w:rsidRDefault="00EC6750"/>
    <w:p w:rsidR="00EC6750" w:rsidRDefault="00EC6750"/>
    <w:p w:rsidR="00EC6750" w:rsidRDefault="00EC6750"/>
    <w:p w:rsidR="00EC6750" w:rsidRDefault="00EC6750"/>
    <w:tbl>
      <w:tblPr>
        <w:tblW w:w="10266" w:type="dxa"/>
        <w:tblLook w:val="04A0" w:firstRow="1" w:lastRow="0" w:firstColumn="1" w:lastColumn="0" w:noHBand="0" w:noVBand="1"/>
      </w:tblPr>
      <w:tblGrid>
        <w:gridCol w:w="960"/>
        <w:gridCol w:w="3448"/>
        <w:gridCol w:w="427"/>
        <w:gridCol w:w="427"/>
        <w:gridCol w:w="1240"/>
        <w:gridCol w:w="960"/>
        <w:gridCol w:w="740"/>
        <w:gridCol w:w="820"/>
        <w:gridCol w:w="480"/>
        <w:gridCol w:w="960"/>
      </w:tblGrid>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lastRenderedPageBreak/>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NAB</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National Australia Bank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 xml:space="preserve">National Australia Bank is one of four major banks and is Australia's biggest business bank. The Clydesdale demerger completed in February 2016, with the core and profitable Australian and New Zealand commercial and retail banking franchises now the sole focus. CEO Andrew </w:t>
            </w:r>
            <w:proofErr w:type="spellStart"/>
            <w:r w:rsidRPr="00AE2225">
              <w:rPr>
                <w:rFonts w:ascii="Arial" w:eastAsia="Times New Roman" w:hAnsi="Arial" w:cs="Arial"/>
                <w:color w:val="000000"/>
                <w:sz w:val="14"/>
                <w:szCs w:val="14"/>
                <w:lang w:eastAsia="en-AU"/>
              </w:rPr>
              <w:t>Thorburn</w:t>
            </w:r>
            <w:proofErr w:type="spellEnd"/>
            <w:r w:rsidRPr="00AE2225">
              <w:rPr>
                <w:rFonts w:ascii="Arial" w:eastAsia="Times New Roman" w:hAnsi="Arial" w:cs="Arial"/>
                <w:color w:val="000000"/>
                <w:sz w:val="14"/>
                <w:szCs w:val="14"/>
                <w:lang w:eastAsia="en-AU"/>
              </w:rPr>
              <w:t xml:space="preserve"> and senior management have started the business optimisation process, and we anticipate consistent, high-quality earnings, erasing previous disappointments and rebuilding investor confidence. Good revenue and volume growth, tight cost control, and improved return on equity will feature. The share price has recovered relative to peers from a long period of underperformance. The bank has substantial exposure to the business sector, with 45% of earnings from business banking, and is well placed to take advantage of the recovery in demand for business credit. The author's retirement fund owns shares in all four Australian major banks.</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Banks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4.17%</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12.50%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8.1%</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960"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r>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SHL</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Sonic Healthcare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During the past two decades, Sonic has built a dominant position in the Australian medical diagnostics market; it is now the largest Australian pathology laboratory operator. This scale gives it a significant cost advantage, the primary source of its narrow economic moat. Sonic invested heavily throughout the six years to 2011 to establish critical mass in the U.S. and European pathology markets. The firm is now generating synergies from acquired businesses, the same strategy it implemented so successfully in Australia. We expect steady realisation of synergies in the U.S. and European markets to gradually boost margins for many years and help drive EPS growth of about 10% during the next five years. Several dynamics underpin pathology test volume globally, including ageing populations, the economic benefits of preventative medicine, and ongoing innovation in pathology testing technology.</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Health Care Equipment &amp; Services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5.15%</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6.00%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3.7%</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960"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r>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WBC</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Westpac Banking Corporation</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 xml:space="preserve">Westpac Banking Corporation is Australia's oldest bank, marking 200 years in 2017. Certain commentators view Westpac's successful home-loan growth strategy as a key weakness, but we argue that it is a core strength. Investor concerns, centred on the large exposure to residential mortgages, are overdone. The high-profile </w:t>
            </w:r>
            <w:proofErr w:type="spellStart"/>
            <w:r w:rsidRPr="00AE2225">
              <w:rPr>
                <w:rFonts w:ascii="Arial" w:eastAsia="Times New Roman" w:hAnsi="Arial" w:cs="Arial"/>
                <w:color w:val="000000"/>
                <w:sz w:val="14"/>
                <w:szCs w:val="14"/>
                <w:lang w:eastAsia="en-AU"/>
              </w:rPr>
              <w:t>multibrand</w:t>
            </w:r>
            <w:proofErr w:type="spellEnd"/>
            <w:r w:rsidRPr="00AE2225">
              <w:rPr>
                <w:rFonts w:ascii="Arial" w:eastAsia="Times New Roman" w:hAnsi="Arial" w:cs="Arial"/>
                <w:color w:val="000000"/>
                <w:sz w:val="14"/>
                <w:szCs w:val="14"/>
                <w:lang w:eastAsia="en-AU"/>
              </w:rPr>
              <w:t xml:space="preserve"> franchise in Australia and New Zealand is slanted towards retail banking, but retains meaningful exposure to the wealth, corporate, and institutional sectors. We see solid earnings upside potential, with international investors continuing to focus too much attention on negative short-term issues. A strong balance sheet, peer-leading loan quality, and impressive returns on equity underpin a solid earnings outlook. The author's retirement fund owns shares in all four Australian major banks.</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Banks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2.02%</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12.50%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7.3%</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960"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r>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WES</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Wesfarmers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Wesfarmers' diversified portfolio provides exposure to many segments of the Australian economy. The vast majority of earnings are consumer-related, more specifically to hardware retailing in the Bunnings chain. Other industrial operations provide exposure to agriculture and industrial gases. Wesfarmers is one of Australia's largest private-sector employer, with more than 100,000 employees. Wesfarmers has a wide moat, which is sourced from cost advantages derived from its significant retail scale. Post the demerger of Coles in 2018, returns on equity are no longer affected by goodwill associated with the 2008 acquisition of Coles and returns on invested capital comfortably exceed the group's weighted cost of capital.</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Food &amp; Staples Retailing</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7.72%</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9.00%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6.1%</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bl>
    <w:p w:rsidR="00EC6750" w:rsidRDefault="00EC6750"/>
    <w:p w:rsidR="00AE2225" w:rsidRDefault="00AE2225"/>
    <w:p w:rsidR="00AE2225" w:rsidRDefault="00AE2225"/>
    <w:tbl>
      <w:tblPr>
        <w:tblW w:w="10266" w:type="dxa"/>
        <w:tblLook w:val="04A0" w:firstRow="1" w:lastRow="0" w:firstColumn="1" w:lastColumn="0" w:noHBand="0" w:noVBand="1"/>
      </w:tblPr>
      <w:tblGrid>
        <w:gridCol w:w="960"/>
        <w:gridCol w:w="3448"/>
        <w:gridCol w:w="427"/>
        <w:gridCol w:w="427"/>
        <w:gridCol w:w="1240"/>
        <w:gridCol w:w="960"/>
        <w:gridCol w:w="740"/>
        <w:gridCol w:w="820"/>
        <w:gridCol w:w="480"/>
        <w:gridCol w:w="960"/>
      </w:tblGrid>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lastRenderedPageBreak/>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TCL</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roofErr w:type="spellStart"/>
            <w:r w:rsidRPr="00AE2225">
              <w:rPr>
                <w:rFonts w:ascii="Arial" w:eastAsia="Times New Roman" w:hAnsi="Arial" w:cs="Arial"/>
                <w:color w:val="000000"/>
                <w:sz w:val="14"/>
                <w:szCs w:val="14"/>
                <w:lang w:eastAsia="en-AU"/>
              </w:rPr>
              <w:t>Transurban</w:t>
            </w:r>
            <w:proofErr w:type="spellEnd"/>
            <w:r w:rsidRPr="00AE2225">
              <w:rPr>
                <w:rFonts w:ascii="Arial" w:eastAsia="Times New Roman" w:hAnsi="Arial" w:cs="Arial"/>
                <w:color w:val="000000"/>
                <w:sz w:val="14"/>
                <w:szCs w:val="14"/>
                <w:lang w:eastAsia="en-AU"/>
              </w:rPr>
              <w:t xml:space="preserve"> Group</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roofErr w:type="spellStart"/>
            <w:r w:rsidRPr="00AE2225">
              <w:rPr>
                <w:rFonts w:ascii="Arial" w:eastAsia="Times New Roman" w:hAnsi="Arial" w:cs="Arial"/>
                <w:color w:val="000000"/>
                <w:sz w:val="14"/>
                <w:szCs w:val="14"/>
                <w:lang w:eastAsia="en-AU"/>
              </w:rPr>
              <w:t>Transurban</w:t>
            </w:r>
            <w:proofErr w:type="spellEnd"/>
            <w:r w:rsidRPr="00AE2225">
              <w:rPr>
                <w:rFonts w:ascii="Arial" w:eastAsia="Times New Roman" w:hAnsi="Arial" w:cs="Arial"/>
                <w:color w:val="000000"/>
                <w:sz w:val="14"/>
                <w:szCs w:val="14"/>
                <w:lang w:eastAsia="en-AU"/>
              </w:rPr>
              <w:t xml:space="preserve"> Group is a leading toll road owner/operator, with a portfolio of assets in Australia and North America. Concession lives are fixed, with toll roads handed back to their respective governments debt-free at the end of the concession. The weighted average concession life of the portfolio is around 30 years. Under the leadership of Scott Charlton, </w:t>
            </w:r>
            <w:proofErr w:type="spellStart"/>
            <w:r w:rsidRPr="00AE2225">
              <w:rPr>
                <w:rFonts w:ascii="Arial" w:eastAsia="Times New Roman" w:hAnsi="Arial" w:cs="Arial"/>
                <w:color w:val="000000"/>
                <w:sz w:val="14"/>
                <w:szCs w:val="14"/>
                <w:lang w:eastAsia="en-AU"/>
              </w:rPr>
              <w:t>Transurban</w:t>
            </w:r>
            <w:proofErr w:type="spellEnd"/>
            <w:r w:rsidRPr="00AE2225">
              <w:rPr>
                <w:rFonts w:ascii="Arial" w:eastAsia="Times New Roman" w:hAnsi="Arial" w:cs="Arial"/>
                <w:color w:val="000000"/>
                <w:sz w:val="14"/>
                <w:szCs w:val="14"/>
                <w:lang w:eastAsia="en-AU"/>
              </w:rPr>
              <w:t xml:space="preserve"> has aggressively expanded its portfolio through a combination of acquisitions and greenfield projects. Toll roads have high barriers to entry and benefit from rising traffic volumes and tolls, which increase in line with the consumer price index or higher. </w:t>
            </w:r>
            <w:proofErr w:type="spellStart"/>
            <w:r w:rsidRPr="00AE2225">
              <w:rPr>
                <w:rFonts w:ascii="Arial" w:eastAsia="Times New Roman" w:hAnsi="Arial" w:cs="Arial"/>
                <w:color w:val="000000"/>
                <w:sz w:val="14"/>
                <w:szCs w:val="14"/>
                <w:lang w:eastAsia="en-AU"/>
              </w:rPr>
              <w:t>Transurban</w:t>
            </w:r>
            <w:proofErr w:type="spellEnd"/>
            <w:r w:rsidRPr="00AE2225">
              <w:rPr>
                <w:rFonts w:ascii="Arial" w:eastAsia="Times New Roman" w:hAnsi="Arial" w:cs="Arial"/>
                <w:color w:val="000000"/>
                <w:sz w:val="14"/>
                <w:szCs w:val="14"/>
                <w:lang w:eastAsia="en-AU"/>
              </w:rPr>
              <w:t xml:space="preserve"> is a stapled security, with a considerable portion of its net cash flows distributed to security holders </w:t>
            </w:r>
            <w:proofErr w:type="spellStart"/>
            <w:r w:rsidRPr="00AE2225">
              <w:rPr>
                <w:rFonts w:ascii="Arial" w:eastAsia="Times New Roman" w:hAnsi="Arial" w:cs="Arial"/>
                <w:color w:val="000000"/>
                <w:sz w:val="14"/>
                <w:szCs w:val="14"/>
                <w:lang w:eastAsia="en-AU"/>
              </w:rPr>
              <w:t>pretax</w:t>
            </w:r>
            <w:proofErr w:type="spellEnd"/>
            <w:r w:rsidRPr="00AE2225">
              <w:rPr>
                <w:rFonts w:ascii="Arial" w:eastAsia="Times New Roman" w:hAnsi="Arial" w:cs="Arial"/>
                <w:color w:val="000000"/>
                <w:sz w:val="14"/>
                <w:szCs w:val="14"/>
                <w:lang w:eastAsia="en-AU"/>
              </w:rPr>
              <w:t>. The objective is to cash-cover and increase distributions; we project a five-year mid-single-digit CAGR in distributions.</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Transportation</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1.82%</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7.00%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5.1%</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960"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r>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Morningstar/Aegis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MQG</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Macquarie Group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 xml:space="preserve">Macquarie's global business model has successfully navigated the operational and capital market headwinds affecting other larger investment banks. Although it is subscale compared with global peers, the firm has successfully replaced the significant revenue streams previously sourced from the highly profitable satellite-fund business model. Long-held strengths of adaptability, variable costs, a solid balance sheet, and capable management offset volatile market conditions and place the group in a strong position to leverage the market rebound. Funds management, corporate lending, and asset financing are strong performers, delivering lower-risk income at the same time that Macquarie's market-dependent businesses start to recover. Stronger global capital markets and increased transactional volumes are needed to boost earnings in market-facing </w:t>
            </w:r>
            <w:proofErr w:type="spellStart"/>
            <w:r w:rsidRPr="00AE2225">
              <w:rPr>
                <w:rFonts w:ascii="Arial" w:eastAsia="Times New Roman" w:hAnsi="Arial" w:cs="Arial"/>
                <w:color w:val="000000"/>
                <w:sz w:val="14"/>
                <w:szCs w:val="14"/>
                <w:lang w:eastAsia="en-AU"/>
              </w:rPr>
              <w:t>businesses.The</w:t>
            </w:r>
            <w:proofErr w:type="spellEnd"/>
            <w:r w:rsidRPr="00AE2225">
              <w:rPr>
                <w:rFonts w:ascii="Arial" w:eastAsia="Times New Roman" w:hAnsi="Arial" w:cs="Arial"/>
                <w:color w:val="000000"/>
                <w:sz w:val="14"/>
                <w:szCs w:val="14"/>
                <w:lang w:eastAsia="en-AU"/>
              </w:rPr>
              <w:t xml:space="preserve"> author's retirement fund owns shares in Macquarie Group. </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Diversified Financials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18.66%</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7.00%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5.3%</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960"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r>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Morningstar/Aegis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BXB</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Brambles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Brambles is the largest global provider of pallet and reusable plastic crate, or RPC, pooling services. Global scale and years of experience provide competitive advantages and a wide economic moat. The global infrastructure and advantageous cost position are barriers to entry, but there is some competition at the regional level. Cash flow, operating margins, and return on equity are high, but until recently, the business struggled to achieve sustainable earnings growth over a prolonged period. Management has been able to refocus the business, and while earnings are currently struggling with the effects of subdued U.S. and European economies, this is more than offset by increased penetration of existing markets and expansion to new geographies and services. A recovery in the developed economies would provide a major earnings boost. Growth opportunities exist in the RPC and container businesses.</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Commercial &amp; Professional Services</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13.38%</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6.00%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705"/>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3.0%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960"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12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74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2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48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960" w:type="dxa"/>
            <w:tcBorders>
              <w:top w:val="nil"/>
              <w:left w:val="nil"/>
              <w:bottom w:val="nil"/>
              <w:right w:val="nil"/>
            </w:tcBorders>
            <w:shd w:val="clear" w:color="auto" w:fill="auto"/>
            <w:vAlign w:val="center"/>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r>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0"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Morningstar/Aegis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IAG</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Insurance Australia Group Limited</w:t>
            </w:r>
          </w:p>
        </w:tc>
        <w:tc>
          <w:tcPr>
            <w:tcW w:w="520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Insurance Australia Group is one of the two largest domestic general insurers operating in Australia and New Zealand. Despite heritage brands and high market shares, its products are commoditised and sustainable competitive advantages are elusive, hence the pressure from competition on revenue and margins. The firm exited its U.K. business several years ago to focus on its core business in Australia and New Zealand. The insurance market is mature, with cyclical, price-competitive, premium rates. Large insured events occur without warning, and claims trends are largely beyond the control of management in the short term. Reinsurance protection and capital management mitigate risks to some extent. General insurance is inherently risky, with volatile earnings, but recent quota share deals reduce earnings volatility, release capital, and increase more-stable fee based income. The Asian growth strategy has been cut.</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Insurance</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8.59%</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8.00%</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5.7%</w:t>
            </w:r>
          </w:p>
        </w:tc>
        <w:tc>
          <w:tcPr>
            <w:tcW w:w="5200"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bl>
    <w:p w:rsidR="00AE2225" w:rsidRDefault="00AE2225"/>
    <w:p w:rsidR="00AE2225" w:rsidRDefault="00AE2225"/>
    <w:p w:rsidR="00AE2225" w:rsidRDefault="00AE2225"/>
    <w:tbl>
      <w:tblPr>
        <w:tblW w:w="10268" w:type="dxa"/>
        <w:tblLook w:val="04A0" w:firstRow="1" w:lastRow="0" w:firstColumn="1" w:lastColumn="0" w:noHBand="0" w:noVBand="1"/>
      </w:tblPr>
      <w:tblGrid>
        <w:gridCol w:w="960"/>
        <w:gridCol w:w="3448"/>
        <w:gridCol w:w="427"/>
        <w:gridCol w:w="427"/>
        <w:gridCol w:w="867"/>
        <w:gridCol w:w="867"/>
        <w:gridCol w:w="867"/>
        <w:gridCol w:w="867"/>
        <w:gridCol w:w="867"/>
        <w:gridCol w:w="867"/>
      </w:tblGrid>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lastRenderedPageBreak/>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2"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Morningstar/Aegis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ABC</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Adelaide Brighton Limited</w:t>
            </w:r>
          </w:p>
        </w:tc>
        <w:tc>
          <w:tcPr>
            <w:tcW w:w="520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 xml:space="preserve">The Australian cement industry is transitioning toward lower domestic clinker manufacture in favour of greater Asian imports which reduce both cost and local industry carbon emissions. Adelaide Brighton is furthest along this journey with an approximate 60% of clinker requirements being sourced offshore. While increased imports act to reduce raw materials costs, operating leverage is expected to be more muted as this transition continues. While we expect the company to pass through higher energy costs to customers, driving operating margins to 16.5% at </w:t>
            </w:r>
            <w:proofErr w:type="spellStart"/>
            <w:r w:rsidRPr="00AE2225">
              <w:rPr>
                <w:rFonts w:ascii="Arial" w:eastAsia="Times New Roman" w:hAnsi="Arial" w:cs="Arial"/>
                <w:color w:val="000000"/>
                <w:sz w:val="14"/>
                <w:szCs w:val="14"/>
                <w:lang w:eastAsia="en-AU"/>
              </w:rPr>
              <w:t>midcycle</w:t>
            </w:r>
            <w:proofErr w:type="spellEnd"/>
            <w:r w:rsidRPr="00AE2225">
              <w:rPr>
                <w:rFonts w:ascii="Arial" w:eastAsia="Times New Roman" w:hAnsi="Arial" w:cs="Arial"/>
                <w:color w:val="000000"/>
                <w:sz w:val="14"/>
                <w:szCs w:val="14"/>
                <w:lang w:eastAsia="en-AU"/>
              </w:rPr>
              <w:t>--near historical averages--we see further margin accretion therefore constrained. With margin upside limited beyond this level, Adelaide Brighton shares look expensive at current levels.</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Materials</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13.86%</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7.00%</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4.3%</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960"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r>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2"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Morningstar/Aegis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AMC</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CSL Limited</w:t>
            </w:r>
          </w:p>
        </w:tc>
        <w:tc>
          <w:tcPr>
            <w:tcW w:w="520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Amcor's offer for Bemis will further cement its position as a global plastics giant. With 70% of Bemis' USD 4 billion in annual sales generated in North America, the deal will beef up Amcor's underweight position in the North American flexibles market. With synergy realisation estimated at USD 126 million, the deal adds AUD 1.14 per share of value for Amcor shareholders.</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Pharmaceuticals, Biotechnology &amp; Life Sciences</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19.68%</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5.00%</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4.9%</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960"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r>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2"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Morningstar/Aegis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GMG</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Goodman Group</w:t>
            </w:r>
          </w:p>
        </w:tc>
        <w:tc>
          <w:tcPr>
            <w:tcW w:w="520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The substantial yield premium on high-quality industrial property to bonds is a key factor behind strong institutional demand for Goodman-developed product. With an outlook for interest rates to reach exceptionally low levels, we expect sustained institutional demand for industrial property. Goodman has strong growth prospects, but asset value risks are evident. Recent rises in industrial asset values have been facilitated by sharply lower interest rates, particularly given that rent growth rates have stabilised in most regions. The inevitable reversion to long-term average borrowing rates in outer years could weigh heavily on industrial property values, reflecting the dual impact of capitalisation-rate expansion and softer commercial demand for industrial space. This ever-present risk highlights the importance of premium product and financially sound tenants, a key attribute of the Goodman investment vehicles.</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Real Estate</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7.47%</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4.00%</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2.9%</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960"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
        </w:tc>
        <w:tc>
          <w:tcPr>
            <w:tcW w:w="3448"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329"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jc w:val="center"/>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c>
          <w:tcPr>
            <w:tcW w:w="867" w:type="dxa"/>
            <w:tcBorders>
              <w:top w:val="nil"/>
              <w:left w:val="nil"/>
              <w:bottom w:val="nil"/>
              <w:right w:val="nil"/>
            </w:tcBorders>
            <w:shd w:val="clear" w:color="auto" w:fill="auto"/>
            <w:noWrap/>
            <w:vAlign w:val="bottom"/>
            <w:hideMark/>
          </w:tcPr>
          <w:p w:rsidR="00AE2225" w:rsidRPr="00AE2225" w:rsidRDefault="00AE2225" w:rsidP="00AE2225">
            <w:pPr>
              <w:spacing w:after="0" w:line="240" w:lineRule="auto"/>
              <w:rPr>
                <w:rFonts w:ascii="Times New Roman" w:eastAsia="Times New Roman" w:hAnsi="Times New Roman" w:cs="Times New Roman"/>
                <w:sz w:val="20"/>
                <w:szCs w:val="20"/>
                <w:lang w:eastAsia="en-AU"/>
              </w:rPr>
            </w:pPr>
          </w:p>
        </w:tc>
      </w:tr>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ASX Code</w:t>
            </w:r>
          </w:p>
        </w:tc>
        <w:tc>
          <w:tcPr>
            <w:tcW w:w="4106" w:type="dxa"/>
            <w:gridSpan w:val="3"/>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2" w:type="dxa"/>
            <w:gridSpan w:val="6"/>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Morningstar/Aegis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BHP</w:t>
            </w:r>
          </w:p>
        </w:tc>
        <w:tc>
          <w:tcPr>
            <w:tcW w:w="410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BHP Billiton Limited</w:t>
            </w:r>
          </w:p>
        </w:tc>
        <w:tc>
          <w:tcPr>
            <w:tcW w:w="520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 xml:space="preserve">BHP has several of the world's largest mines. Key mined commodities are iron ore, coking coal, and copper. In addition, the company has meaningful oil exposure with large bets on U.S. onshore shale gas and oil, conventional petroleum, and liquefied natural gas, or LNG, assets. The iron ore mines in particular are at the low end of the industry cash cost curve; however, overinvestment during the peaks of the China boom, when capital costs were very high relative to historical standards, has diluted expected future returns. After adding back the not-inconsiderable write-downs, BHP's invested capital base nearly quadrupled in the decade-ended 2015, substantially lowering returns such that we expect adjusted </w:t>
            </w:r>
            <w:proofErr w:type="spellStart"/>
            <w:r w:rsidRPr="00AE2225">
              <w:rPr>
                <w:rFonts w:ascii="Arial" w:eastAsia="Times New Roman" w:hAnsi="Arial" w:cs="Arial"/>
                <w:color w:val="000000"/>
                <w:sz w:val="14"/>
                <w:szCs w:val="14"/>
                <w:lang w:eastAsia="en-AU"/>
              </w:rPr>
              <w:t>midcycle</w:t>
            </w:r>
            <w:proofErr w:type="spellEnd"/>
            <w:r w:rsidRPr="00AE2225">
              <w:rPr>
                <w:rFonts w:ascii="Arial" w:eastAsia="Times New Roman" w:hAnsi="Arial" w:cs="Arial"/>
                <w:color w:val="000000"/>
                <w:sz w:val="14"/>
                <w:szCs w:val="14"/>
                <w:lang w:eastAsia="en-AU"/>
              </w:rPr>
              <w:t xml:space="preserve"> returns below the company's cost of capital. Excluding impairments, we forecast </w:t>
            </w:r>
            <w:proofErr w:type="spellStart"/>
            <w:r w:rsidRPr="00AE2225">
              <w:rPr>
                <w:rFonts w:ascii="Arial" w:eastAsia="Times New Roman" w:hAnsi="Arial" w:cs="Arial"/>
                <w:color w:val="000000"/>
                <w:sz w:val="14"/>
                <w:szCs w:val="14"/>
                <w:lang w:eastAsia="en-AU"/>
              </w:rPr>
              <w:t>midcycle</w:t>
            </w:r>
            <w:proofErr w:type="spellEnd"/>
            <w:r w:rsidRPr="00AE2225">
              <w:rPr>
                <w:rFonts w:ascii="Arial" w:eastAsia="Times New Roman" w:hAnsi="Arial" w:cs="Arial"/>
                <w:color w:val="000000"/>
                <w:sz w:val="14"/>
                <w:szCs w:val="14"/>
                <w:lang w:eastAsia="en-AU"/>
              </w:rPr>
              <w:t xml:space="preserve"> returns to approximately match BHP's cost of capital.</w:t>
            </w: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506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Materials</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65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20.30%</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6.00%</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658" w:type="dxa"/>
            <w:gridSpan w:val="2"/>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08"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65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5.3%</w:t>
            </w:r>
          </w:p>
        </w:tc>
        <w:tc>
          <w:tcPr>
            <w:tcW w:w="5202" w:type="dxa"/>
            <w:gridSpan w:val="6"/>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bl>
    <w:p w:rsidR="00AE2225" w:rsidRDefault="00AE2225" w:rsidP="00AE2225"/>
    <w:p w:rsidR="00AE2225" w:rsidRDefault="00AE2225" w:rsidP="00AE2225"/>
    <w:p w:rsidR="00AE2225" w:rsidRDefault="00AE2225" w:rsidP="00AE2225"/>
    <w:p w:rsidR="00AE2225" w:rsidRDefault="00AE2225" w:rsidP="00AE2225"/>
    <w:p w:rsidR="00AE2225" w:rsidRDefault="00AE2225" w:rsidP="00AE2225"/>
    <w:tbl>
      <w:tblPr>
        <w:tblW w:w="9680" w:type="dxa"/>
        <w:tblLook w:val="04A0" w:firstRow="1" w:lastRow="0" w:firstColumn="1" w:lastColumn="0" w:noHBand="0" w:noVBand="1"/>
      </w:tblPr>
      <w:tblGrid>
        <w:gridCol w:w="960"/>
        <w:gridCol w:w="1140"/>
        <w:gridCol w:w="2380"/>
        <w:gridCol w:w="5200"/>
      </w:tblGrid>
      <w:tr w:rsidR="00AE2225" w:rsidRPr="00AE2225" w:rsidTr="00AE2225">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lastRenderedPageBreak/>
              <w:t>ASX Code</w:t>
            </w:r>
          </w:p>
        </w:tc>
        <w:tc>
          <w:tcPr>
            <w:tcW w:w="3520" w:type="dxa"/>
            <w:gridSpan w:val="2"/>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Company Name</w:t>
            </w:r>
          </w:p>
        </w:tc>
        <w:tc>
          <w:tcPr>
            <w:tcW w:w="5200" w:type="dxa"/>
            <w:tcBorders>
              <w:top w:val="single" w:sz="8" w:space="0" w:color="auto"/>
              <w:left w:val="nil"/>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Morningstar/Aegis Research Commentary</w:t>
            </w:r>
          </w:p>
        </w:tc>
      </w:tr>
      <w:tr w:rsidR="00AE2225" w:rsidRPr="00AE2225" w:rsidTr="00AE2225">
        <w:trPr>
          <w:trHeight w:val="2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DLX</w:t>
            </w:r>
          </w:p>
        </w:tc>
        <w:tc>
          <w:tcPr>
            <w:tcW w:w="35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proofErr w:type="spellStart"/>
            <w:r w:rsidRPr="00AE2225">
              <w:rPr>
                <w:rFonts w:ascii="Arial" w:eastAsia="Times New Roman" w:hAnsi="Arial" w:cs="Arial"/>
                <w:color w:val="000000"/>
                <w:sz w:val="14"/>
                <w:szCs w:val="14"/>
                <w:lang w:eastAsia="en-AU"/>
              </w:rPr>
              <w:t>DuluxGroup</w:t>
            </w:r>
            <w:proofErr w:type="spellEnd"/>
            <w:r w:rsidRPr="00AE2225">
              <w:rPr>
                <w:rFonts w:ascii="Arial" w:eastAsia="Times New Roman" w:hAnsi="Arial" w:cs="Arial"/>
                <w:color w:val="000000"/>
                <w:sz w:val="14"/>
                <w:szCs w:val="14"/>
                <w:lang w:eastAsia="en-AU"/>
              </w:rPr>
              <w:t xml:space="preserve"> Limited</w:t>
            </w:r>
          </w:p>
        </w:tc>
        <w:tc>
          <w:tcPr>
            <w:tcW w:w="52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roofErr w:type="spellStart"/>
            <w:r w:rsidRPr="00AE2225">
              <w:rPr>
                <w:rFonts w:ascii="Arial" w:eastAsia="Times New Roman" w:hAnsi="Arial" w:cs="Arial"/>
                <w:color w:val="000000"/>
                <w:sz w:val="14"/>
                <w:szCs w:val="14"/>
                <w:lang w:eastAsia="en-AU"/>
              </w:rPr>
              <w:t>DuluxGroup</w:t>
            </w:r>
            <w:proofErr w:type="spellEnd"/>
            <w:r w:rsidRPr="00AE2225">
              <w:rPr>
                <w:rFonts w:ascii="Arial" w:eastAsia="Times New Roman" w:hAnsi="Arial" w:cs="Arial"/>
                <w:color w:val="000000"/>
                <w:sz w:val="14"/>
                <w:szCs w:val="14"/>
                <w:lang w:eastAsia="en-AU"/>
              </w:rPr>
              <w:t xml:space="preserve"> is a consumer-oriented and brand-focused business, commanding healthy margins that more than adequately cover the modest capital expenditure requirements. We believe this makes the company an attractive investment that generates high free cash flow. While revenue from renovations is relatively stable, some parts of </w:t>
            </w:r>
            <w:proofErr w:type="spellStart"/>
            <w:r w:rsidRPr="00AE2225">
              <w:rPr>
                <w:rFonts w:ascii="Arial" w:eastAsia="Times New Roman" w:hAnsi="Arial" w:cs="Arial"/>
                <w:color w:val="000000"/>
                <w:sz w:val="14"/>
                <w:szCs w:val="14"/>
                <w:lang w:eastAsia="en-AU"/>
              </w:rPr>
              <w:t>DuluxGroup</w:t>
            </w:r>
            <w:proofErr w:type="spellEnd"/>
            <w:r w:rsidRPr="00AE2225">
              <w:rPr>
                <w:rFonts w:ascii="Arial" w:eastAsia="Times New Roman" w:hAnsi="Arial" w:cs="Arial"/>
                <w:color w:val="000000"/>
                <w:sz w:val="14"/>
                <w:szCs w:val="14"/>
                <w:lang w:eastAsia="en-AU"/>
              </w:rPr>
              <w:t xml:space="preserve"> are subject to cyclical shifts in consumer confidence and household expenditure. The acquisition of </w:t>
            </w:r>
            <w:proofErr w:type="spellStart"/>
            <w:r w:rsidRPr="00AE2225">
              <w:rPr>
                <w:rFonts w:ascii="Arial" w:eastAsia="Times New Roman" w:hAnsi="Arial" w:cs="Arial"/>
                <w:color w:val="000000"/>
                <w:sz w:val="14"/>
                <w:szCs w:val="14"/>
                <w:lang w:eastAsia="en-AU"/>
              </w:rPr>
              <w:t>Alesco</w:t>
            </w:r>
            <w:proofErr w:type="spellEnd"/>
            <w:r w:rsidRPr="00AE2225">
              <w:rPr>
                <w:rFonts w:ascii="Arial" w:eastAsia="Times New Roman" w:hAnsi="Arial" w:cs="Arial"/>
                <w:color w:val="000000"/>
                <w:sz w:val="14"/>
                <w:szCs w:val="14"/>
                <w:lang w:eastAsia="en-AU"/>
              </w:rPr>
              <w:t xml:space="preserve"> increased leverage to new housing activity. Input costs can be volatile, but </w:t>
            </w:r>
            <w:proofErr w:type="spellStart"/>
            <w:r w:rsidRPr="00AE2225">
              <w:rPr>
                <w:rFonts w:ascii="Arial" w:eastAsia="Times New Roman" w:hAnsi="Arial" w:cs="Arial"/>
                <w:color w:val="000000"/>
                <w:sz w:val="14"/>
                <w:szCs w:val="14"/>
                <w:lang w:eastAsia="en-AU"/>
              </w:rPr>
              <w:t>DuluxGroup</w:t>
            </w:r>
            <w:proofErr w:type="spellEnd"/>
            <w:r w:rsidRPr="00AE2225">
              <w:rPr>
                <w:rFonts w:ascii="Arial" w:eastAsia="Times New Roman" w:hAnsi="Arial" w:cs="Arial"/>
                <w:color w:val="000000"/>
                <w:sz w:val="14"/>
                <w:szCs w:val="14"/>
                <w:lang w:eastAsia="en-AU"/>
              </w:rPr>
              <w:t xml:space="preserve"> can generally pass those costs through, particularly in paints. </w:t>
            </w:r>
          </w:p>
        </w:tc>
      </w:tr>
      <w:tr w:rsidR="00AE2225" w:rsidRPr="00AE2225" w:rsidTr="00AE2225">
        <w:trPr>
          <w:trHeight w:val="270"/>
        </w:trPr>
        <w:tc>
          <w:tcPr>
            <w:tcW w:w="4480" w:type="dxa"/>
            <w:gridSpan w:val="3"/>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Industry Sector</w:t>
            </w:r>
          </w:p>
        </w:tc>
        <w:tc>
          <w:tcPr>
            <w:tcW w:w="5200" w:type="dxa"/>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44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Materials</w:t>
            </w:r>
          </w:p>
        </w:tc>
        <w:tc>
          <w:tcPr>
            <w:tcW w:w="5200" w:type="dxa"/>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2100" w:type="dxa"/>
            <w:gridSpan w:val="2"/>
            <w:tcBorders>
              <w:top w:val="single" w:sz="8" w:space="0" w:color="auto"/>
              <w:left w:val="single" w:sz="8" w:space="0" w:color="auto"/>
              <w:bottom w:val="single" w:sz="8" w:space="0" w:color="auto"/>
              <w:right w:val="nil"/>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EPS Growth (%)</w:t>
            </w:r>
          </w:p>
        </w:tc>
        <w:tc>
          <w:tcPr>
            <w:tcW w:w="2380" w:type="dxa"/>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Total Exposure (%)</w:t>
            </w:r>
          </w:p>
        </w:tc>
        <w:tc>
          <w:tcPr>
            <w:tcW w:w="5200" w:type="dxa"/>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21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3.05%</w:t>
            </w:r>
          </w:p>
        </w:tc>
        <w:tc>
          <w:tcPr>
            <w:tcW w:w="2380" w:type="dxa"/>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4.00%</w:t>
            </w:r>
          </w:p>
        </w:tc>
        <w:tc>
          <w:tcPr>
            <w:tcW w:w="5200" w:type="dxa"/>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2100" w:type="dxa"/>
            <w:gridSpan w:val="2"/>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Research Source</w:t>
            </w:r>
          </w:p>
        </w:tc>
        <w:tc>
          <w:tcPr>
            <w:tcW w:w="2380" w:type="dxa"/>
            <w:tcBorders>
              <w:top w:val="single" w:sz="8" w:space="0" w:color="auto"/>
              <w:left w:val="nil"/>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Forecast Dividend Yield</w:t>
            </w:r>
          </w:p>
        </w:tc>
        <w:tc>
          <w:tcPr>
            <w:tcW w:w="5200" w:type="dxa"/>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r w:rsidR="00AE2225" w:rsidRPr="00AE2225" w:rsidTr="00AE2225">
        <w:trPr>
          <w:trHeight w:val="270"/>
        </w:trPr>
        <w:tc>
          <w:tcPr>
            <w:tcW w:w="2100" w:type="dxa"/>
            <w:gridSpan w:val="2"/>
            <w:tcBorders>
              <w:top w:val="single" w:sz="8" w:space="0" w:color="auto"/>
              <w:left w:val="single" w:sz="8" w:space="0" w:color="auto"/>
              <w:bottom w:val="single" w:sz="8" w:space="0" w:color="auto"/>
              <w:right w:val="single" w:sz="8" w:space="0" w:color="000000"/>
            </w:tcBorders>
            <w:shd w:val="clear" w:color="000000" w:fill="0070C0"/>
            <w:vAlign w:val="center"/>
            <w:hideMark/>
          </w:tcPr>
          <w:p w:rsidR="00AE2225" w:rsidRPr="00AE2225" w:rsidRDefault="00AE2225" w:rsidP="00AE2225">
            <w:pPr>
              <w:spacing w:after="0" w:line="240" w:lineRule="auto"/>
              <w:jc w:val="center"/>
              <w:rPr>
                <w:rFonts w:ascii="Arial" w:eastAsia="Times New Roman" w:hAnsi="Arial" w:cs="Arial"/>
                <w:b/>
                <w:bCs/>
                <w:color w:val="000000"/>
                <w:sz w:val="14"/>
                <w:szCs w:val="14"/>
                <w:lang w:eastAsia="en-AU"/>
              </w:rPr>
            </w:pPr>
            <w:r w:rsidRPr="00AE2225">
              <w:rPr>
                <w:rFonts w:ascii="Arial" w:eastAsia="Times New Roman" w:hAnsi="Arial" w:cs="Arial"/>
                <w:b/>
                <w:bCs/>
                <w:color w:val="000000"/>
                <w:sz w:val="14"/>
                <w:szCs w:val="14"/>
                <w:lang w:eastAsia="en-AU"/>
              </w:rPr>
              <w:t xml:space="preserve">Morningstar Research </w:t>
            </w:r>
          </w:p>
        </w:tc>
        <w:tc>
          <w:tcPr>
            <w:tcW w:w="2380" w:type="dxa"/>
            <w:tcBorders>
              <w:top w:val="single" w:sz="8" w:space="0" w:color="auto"/>
              <w:left w:val="nil"/>
              <w:bottom w:val="single" w:sz="8" w:space="0" w:color="auto"/>
              <w:right w:val="single" w:sz="8" w:space="0" w:color="000000"/>
            </w:tcBorders>
            <w:shd w:val="clear" w:color="auto" w:fill="auto"/>
            <w:noWrap/>
            <w:vAlign w:val="center"/>
            <w:hideMark/>
          </w:tcPr>
          <w:p w:rsidR="00AE2225" w:rsidRPr="00AE2225" w:rsidRDefault="00AE2225" w:rsidP="00AE2225">
            <w:pPr>
              <w:spacing w:after="0" w:line="240" w:lineRule="auto"/>
              <w:jc w:val="center"/>
              <w:rPr>
                <w:rFonts w:ascii="Arial" w:eastAsia="Times New Roman" w:hAnsi="Arial" w:cs="Arial"/>
                <w:color w:val="000000"/>
                <w:sz w:val="14"/>
                <w:szCs w:val="14"/>
                <w:lang w:eastAsia="en-AU"/>
              </w:rPr>
            </w:pPr>
            <w:r w:rsidRPr="00AE2225">
              <w:rPr>
                <w:rFonts w:ascii="Arial" w:eastAsia="Times New Roman" w:hAnsi="Arial" w:cs="Arial"/>
                <w:color w:val="000000"/>
                <w:sz w:val="14"/>
                <w:szCs w:val="14"/>
                <w:lang w:eastAsia="en-AU"/>
              </w:rPr>
              <w:t>4.3%</w:t>
            </w:r>
          </w:p>
        </w:tc>
        <w:tc>
          <w:tcPr>
            <w:tcW w:w="5200" w:type="dxa"/>
            <w:vMerge/>
            <w:tcBorders>
              <w:top w:val="single" w:sz="8" w:space="0" w:color="auto"/>
              <w:left w:val="single" w:sz="8" w:space="0" w:color="auto"/>
              <w:bottom w:val="single" w:sz="8" w:space="0" w:color="000000"/>
              <w:right w:val="single" w:sz="8" w:space="0" w:color="000000"/>
            </w:tcBorders>
            <w:vAlign w:val="center"/>
            <w:hideMark/>
          </w:tcPr>
          <w:p w:rsidR="00AE2225" w:rsidRPr="00AE2225" w:rsidRDefault="00AE2225" w:rsidP="00AE2225">
            <w:pPr>
              <w:spacing w:after="0" w:line="240" w:lineRule="auto"/>
              <w:rPr>
                <w:rFonts w:ascii="Arial" w:eastAsia="Times New Roman" w:hAnsi="Arial" w:cs="Arial"/>
                <w:color w:val="000000"/>
                <w:sz w:val="14"/>
                <w:szCs w:val="14"/>
                <w:lang w:eastAsia="en-AU"/>
              </w:rPr>
            </w:pPr>
          </w:p>
        </w:tc>
      </w:tr>
    </w:tbl>
    <w:p w:rsidR="00AE2225" w:rsidRDefault="00AE2225" w:rsidP="00AE2225"/>
    <w:sectPr w:rsidR="00AE2225" w:rsidSect="00AE2225">
      <w:pgSz w:w="11906" w:h="16838"/>
      <w:pgMar w:top="1440" w:right="873" w:bottom="1440"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50"/>
    <w:rsid w:val="00024378"/>
    <w:rsid w:val="00033C87"/>
    <w:rsid w:val="000569BD"/>
    <w:rsid w:val="000833F6"/>
    <w:rsid w:val="001519A9"/>
    <w:rsid w:val="0018431E"/>
    <w:rsid w:val="00194493"/>
    <w:rsid w:val="001A60DF"/>
    <w:rsid w:val="001B2F60"/>
    <w:rsid w:val="001F4D53"/>
    <w:rsid w:val="0020255A"/>
    <w:rsid w:val="00296695"/>
    <w:rsid w:val="002D7454"/>
    <w:rsid w:val="002F4CB1"/>
    <w:rsid w:val="00315D13"/>
    <w:rsid w:val="00340284"/>
    <w:rsid w:val="003430AE"/>
    <w:rsid w:val="00427434"/>
    <w:rsid w:val="00455EC8"/>
    <w:rsid w:val="004715F8"/>
    <w:rsid w:val="004833BE"/>
    <w:rsid w:val="0049380D"/>
    <w:rsid w:val="00496DC6"/>
    <w:rsid w:val="004F7437"/>
    <w:rsid w:val="005E5E6B"/>
    <w:rsid w:val="006279ED"/>
    <w:rsid w:val="00657FED"/>
    <w:rsid w:val="00671D75"/>
    <w:rsid w:val="00682122"/>
    <w:rsid w:val="00682F22"/>
    <w:rsid w:val="006E18A6"/>
    <w:rsid w:val="00711305"/>
    <w:rsid w:val="007205B3"/>
    <w:rsid w:val="00745906"/>
    <w:rsid w:val="0074592B"/>
    <w:rsid w:val="00760BF2"/>
    <w:rsid w:val="00763926"/>
    <w:rsid w:val="007746E4"/>
    <w:rsid w:val="007750A2"/>
    <w:rsid w:val="00781FFC"/>
    <w:rsid w:val="007963F7"/>
    <w:rsid w:val="007C4584"/>
    <w:rsid w:val="007C63C9"/>
    <w:rsid w:val="007C7982"/>
    <w:rsid w:val="007E6163"/>
    <w:rsid w:val="008055D8"/>
    <w:rsid w:val="00834E0D"/>
    <w:rsid w:val="008518E0"/>
    <w:rsid w:val="00854212"/>
    <w:rsid w:val="008E73A4"/>
    <w:rsid w:val="00924213"/>
    <w:rsid w:val="00963F70"/>
    <w:rsid w:val="009A08E7"/>
    <w:rsid w:val="009B6205"/>
    <w:rsid w:val="009C2103"/>
    <w:rsid w:val="00A17E9B"/>
    <w:rsid w:val="00A36695"/>
    <w:rsid w:val="00A5296D"/>
    <w:rsid w:val="00AE2225"/>
    <w:rsid w:val="00AF313D"/>
    <w:rsid w:val="00B04CB3"/>
    <w:rsid w:val="00B263A8"/>
    <w:rsid w:val="00BC6126"/>
    <w:rsid w:val="00C27A4C"/>
    <w:rsid w:val="00C60521"/>
    <w:rsid w:val="00CB134C"/>
    <w:rsid w:val="00CB2032"/>
    <w:rsid w:val="00D068F7"/>
    <w:rsid w:val="00D500DE"/>
    <w:rsid w:val="00D94E0B"/>
    <w:rsid w:val="00DA7BCD"/>
    <w:rsid w:val="00DB5293"/>
    <w:rsid w:val="00DF6831"/>
    <w:rsid w:val="00E12050"/>
    <w:rsid w:val="00EB19B0"/>
    <w:rsid w:val="00EB7D5D"/>
    <w:rsid w:val="00EC5A1D"/>
    <w:rsid w:val="00EC5F12"/>
    <w:rsid w:val="00EC6750"/>
    <w:rsid w:val="00F23491"/>
    <w:rsid w:val="00F40DB8"/>
    <w:rsid w:val="00F53A33"/>
    <w:rsid w:val="00FC220B"/>
    <w:rsid w:val="00FF7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4EBC5-2F53-4B24-A162-95DA976E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17794">
      <w:bodyDiv w:val="1"/>
      <w:marLeft w:val="0"/>
      <w:marRight w:val="0"/>
      <w:marTop w:val="0"/>
      <w:marBottom w:val="0"/>
      <w:divBdr>
        <w:top w:val="none" w:sz="0" w:space="0" w:color="auto"/>
        <w:left w:val="none" w:sz="0" w:space="0" w:color="auto"/>
        <w:bottom w:val="none" w:sz="0" w:space="0" w:color="auto"/>
        <w:right w:val="none" w:sz="0" w:space="0" w:color="auto"/>
      </w:divBdr>
    </w:div>
    <w:div w:id="144125108">
      <w:bodyDiv w:val="1"/>
      <w:marLeft w:val="0"/>
      <w:marRight w:val="0"/>
      <w:marTop w:val="0"/>
      <w:marBottom w:val="0"/>
      <w:divBdr>
        <w:top w:val="none" w:sz="0" w:space="0" w:color="auto"/>
        <w:left w:val="none" w:sz="0" w:space="0" w:color="auto"/>
        <w:bottom w:val="none" w:sz="0" w:space="0" w:color="auto"/>
        <w:right w:val="none" w:sz="0" w:space="0" w:color="auto"/>
      </w:divBdr>
    </w:div>
    <w:div w:id="197622347">
      <w:bodyDiv w:val="1"/>
      <w:marLeft w:val="0"/>
      <w:marRight w:val="0"/>
      <w:marTop w:val="0"/>
      <w:marBottom w:val="0"/>
      <w:divBdr>
        <w:top w:val="none" w:sz="0" w:space="0" w:color="auto"/>
        <w:left w:val="none" w:sz="0" w:space="0" w:color="auto"/>
        <w:bottom w:val="none" w:sz="0" w:space="0" w:color="auto"/>
        <w:right w:val="none" w:sz="0" w:space="0" w:color="auto"/>
      </w:divBdr>
    </w:div>
    <w:div w:id="504981984">
      <w:bodyDiv w:val="1"/>
      <w:marLeft w:val="0"/>
      <w:marRight w:val="0"/>
      <w:marTop w:val="0"/>
      <w:marBottom w:val="0"/>
      <w:divBdr>
        <w:top w:val="none" w:sz="0" w:space="0" w:color="auto"/>
        <w:left w:val="none" w:sz="0" w:space="0" w:color="auto"/>
        <w:bottom w:val="none" w:sz="0" w:space="0" w:color="auto"/>
        <w:right w:val="none" w:sz="0" w:space="0" w:color="auto"/>
      </w:divBdr>
    </w:div>
    <w:div w:id="554925362">
      <w:bodyDiv w:val="1"/>
      <w:marLeft w:val="0"/>
      <w:marRight w:val="0"/>
      <w:marTop w:val="0"/>
      <w:marBottom w:val="0"/>
      <w:divBdr>
        <w:top w:val="none" w:sz="0" w:space="0" w:color="auto"/>
        <w:left w:val="none" w:sz="0" w:space="0" w:color="auto"/>
        <w:bottom w:val="none" w:sz="0" w:space="0" w:color="auto"/>
        <w:right w:val="none" w:sz="0" w:space="0" w:color="auto"/>
      </w:divBdr>
    </w:div>
    <w:div w:id="780538757">
      <w:bodyDiv w:val="1"/>
      <w:marLeft w:val="0"/>
      <w:marRight w:val="0"/>
      <w:marTop w:val="0"/>
      <w:marBottom w:val="0"/>
      <w:divBdr>
        <w:top w:val="none" w:sz="0" w:space="0" w:color="auto"/>
        <w:left w:val="none" w:sz="0" w:space="0" w:color="auto"/>
        <w:bottom w:val="none" w:sz="0" w:space="0" w:color="auto"/>
        <w:right w:val="none" w:sz="0" w:space="0" w:color="auto"/>
      </w:divBdr>
    </w:div>
    <w:div w:id="1214972548">
      <w:bodyDiv w:val="1"/>
      <w:marLeft w:val="0"/>
      <w:marRight w:val="0"/>
      <w:marTop w:val="0"/>
      <w:marBottom w:val="0"/>
      <w:divBdr>
        <w:top w:val="none" w:sz="0" w:space="0" w:color="auto"/>
        <w:left w:val="none" w:sz="0" w:space="0" w:color="auto"/>
        <w:bottom w:val="none" w:sz="0" w:space="0" w:color="auto"/>
        <w:right w:val="none" w:sz="0" w:space="0" w:color="auto"/>
      </w:divBdr>
    </w:div>
    <w:div w:id="1483737981">
      <w:bodyDiv w:val="1"/>
      <w:marLeft w:val="0"/>
      <w:marRight w:val="0"/>
      <w:marTop w:val="0"/>
      <w:marBottom w:val="0"/>
      <w:divBdr>
        <w:top w:val="none" w:sz="0" w:space="0" w:color="auto"/>
        <w:left w:val="none" w:sz="0" w:space="0" w:color="auto"/>
        <w:bottom w:val="none" w:sz="0" w:space="0" w:color="auto"/>
        <w:right w:val="none" w:sz="0" w:space="0" w:color="auto"/>
      </w:divBdr>
    </w:div>
    <w:div w:id="1818036716">
      <w:bodyDiv w:val="1"/>
      <w:marLeft w:val="0"/>
      <w:marRight w:val="0"/>
      <w:marTop w:val="0"/>
      <w:marBottom w:val="0"/>
      <w:divBdr>
        <w:top w:val="none" w:sz="0" w:space="0" w:color="auto"/>
        <w:left w:val="none" w:sz="0" w:space="0" w:color="auto"/>
        <w:bottom w:val="none" w:sz="0" w:space="0" w:color="auto"/>
        <w:right w:val="none" w:sz="0" w:space="0" w:color="auto"/>
      </w:divBdr>
    </w:div>
    <w:div w:id="1819102572">
      <w:bodyDiv w:val="1"/>
      <w:marLeft w:val="0"/>
      <w:marRight w:val="0"/>
      <w:marTop w:val="0"/>
      <w:marBottom w:val="0"/>
      <w:divBdr>
        <w:top w:val="none" w:sz="0" w:space="0" w:color="auto"/>
        <w:left w:val="none" w:sz="0" w:space="0" w:color="auto"/>
        <w:bottom w:val="none" w:sz="0" w:space="0" w:color="auto"/>
        <w:right w:val="none" w:sz="0" w:space="0" w:color="auto"/>
      </w:divBdr>
    </w:div>
    <w:div w:id="19421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lsy02\g_csl_sy$\CSL\Wholesale\Management%20Drive\commsecwholesale\000%20CommSec%20Wholesale%20Advisory\Archive\Count%20Model\Monthly%20Reports\Core\2018\November\Core%20Monitoring%201211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12"/>
      <c:rAngAx val="0"/>
    </c:view3D>
    <c:floor>
      <c:thickness val="0"/>
    </c:floor>
    <c:sideWall>
      <c:thickness val="0"/>
    </c:sideWall>
    <c:backWall>
      <c:thickness val="0"/>
    </c:backWall>
    <c:plotArea>
      <c:layout>
        <c:manualLayout>
          <c:layoutTarget val="inner"/>
          <c:xMode val="edge"/>
          <c:yMode val="edge"/>
          <c:x val="2.1305361234279552E-2"/>
          <c:y val="0.26246628848813253"/>
          <c:w val="0.94348592511823548"/>
          <c:h val="0.50498484463635596"/>
        </c:manualLayout>
      </c:layout>
      <c:pie3DChart>
        <c:varyColors val="1"/>
        <c:ser>
          <c:idx val="0"/>
          <c:order val="0"/>
          <c:spPr>
            <a:effectLst>
              <a:outerShdw blurRad="50800" dir="5400000" algn="ctr" rotWithShape="0">
                <a:srgbClr val="000000"/>
              </a:outerShdw>
            </a:effectLst>
            <a:scene3d>
              <a:camera prst="orthographicFront"/>
              <a:lightRig rig="threePt" dir="t"/>
            </a:scene3d>
            <a:sp3d>
              <a:bevelT w="241300" h="177800"/>
            </a:sp3d>
          </c:spPr>
          <c:explosion val="5"/>
          <c:dPt>
            <c:idx val="0"/>
            <c:bubble3D val="0"/>
            <c:spPr>
              <a:solidFill>
                <a:schemeClr val="accent6">
                  <a:lumMod val="75000"/>
                </a:schemeClr>
              </a:solidFill>
              <a:effectLst>
                <a:outerShdw blurRad="50800" dir="5400000" algn="ctr" rotWithShape="0">
                  <a:srgbClr val="000000"/>
                </a:outerShdw>
              </a:effectLst>
              <a:scene3d>
                <a:camera prst="orthographicFront"/>
                <a:lightRig rig="threePt" dir="t"/>
              </a:scene3d>
              <a:sp3d>
                <a:bevelT w="241300" h="177800"/>
              </a:sp3d>
            </c:spPr>
          </c:dPt>
          <c:dPt>
            <c:idx val="1"/>
            <c:bubble3D val="0"/>
            <c:spPr>
              <a:solidFill>
                <a:srgbClr val="FF0000"/>
              </a:solidFill>
              <a:effectLst>
                <a:outerShdw blurRad="50800" dir="5400000" algn="ctr" rotWithShape="0">
                  <a:srgbClr val="000000"/>
                </a:outerShdw>
              </a:effectLst>
              <a:scene3d>
                <a:camera prst="orthographicFront"/>
                <a:lightRig rig="threePt" dir="t"/>
              </a:scene3d>
              <a:sp3d>
                <a:bevelT w="241300" h="177800"/>
              </a:sp3d>
            </c:spPr>
          </c:dPt>
          <c:dPt>
            <c:idx val="2"/>
            <c:bubble3D val="0"/>
            <c:spPr>
              <a:solidFill>
                <a:srgbClr val="FFFF00"/>
              </a:solidFill>
              <a:effectLst>
                <a:outerShdw blurRad="50800" dir="5400000" algn="ctr" rotWithShape="0">
                  <a:srgbClr val="000000"/>
                </a:outerShdw>
              </a:effectLst>
              <a:scene3d>
                <a:camera prst="orthographicFront"/>
                <a:lightRig rig="threePt" dir="t"/>
              </a:scene3d>
              <a:sp3d>
                <a:bevelT w="241300" h="177800"/>
              </a:sp3d>
            </c:spPr>
          </c:dPt>
          <c:dPt>
            <c:idx val="3"/>
            <c:bubble3D val="0"/>
            <c:spPr>
              <a:solidFill>
                <a:srgbClr val="00B050"/>
              </a:solidFill>
              <a:effectLst>
                <a:outerShdw blurRad="50800" dir="5400000" algn="ctr" rotWithShape="0">
                  <a:srgbClr val="000000"/>
                </a:outerShdw>
              </a:effectLst>
              <a:scene3d>
                <a:camera prst="orthographicFront"/>
                <a:lightRig rig="threePt" dir="t"/>
              </a:scene3d>
              <a:sp3d>
                <a:bevelT w="241300" h="177800"/>
              </a:sp3d>
            </c:spPr>
          </c:dPt>
          <c:dPt>
            <c:idx val="4"/>
            <c:bubble3D val="0"/>
            <c:spPr>
              <a:solidFill>
                <a:srgbClr val="0070C0"/>
              </a:solidFill>
              <a:effectLst>
                <a:outerShdw blurRad="50800" dir="5400000" algn="ctr" rotWithShape="0">
                  <a:srgbClr val="000000"/>
                </a:outerShdw>
              </a:effectLst>
              <a:scene3d>
                <a:camera prst="orthographicFront"/>
                <a:lightRig rig="threePt" dir="t"/>
              </a:scene3d>
              <a:sp3d>
                <a:bevelT w="241300" h="177800"/>
              </a:sp3d>
            </c:spPr>
          </c:dPt>
          <c:dLbls>
            <c:dLbl>
              <c:idx val="4"/>
              <c:layout>
                <c:manualLayout>
                  <c:x val="-2.2782806354813202E-2"/>
                  <c:y val="-2.4219146955328001E-2"/>
                </c:manualLayout>
              </c:layou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lang="en-AU" sz="1000" b="0" i="0" u="none" strike="noStrike" baseline="0">
                    <a:solidFill>
                      <a:srgbClr val="000000"/>
                    </a:solidFill>
                    <a:latin typeface="Calibri"/>
                    <a:ea typeface="Calibri"/>
                    <a:cs typeface="Calibri"/>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layout/>
              </c:ext>
            </c:extLst>
          </c:dLbls>
          <c:cat>
            <c:strRef>
              <c:f>'Sector Weightings'!$B$11:$B$15</c:f>
              <c:strCache>
                <c:ptCount val="5"/>
                <c:pt idx="0">
                  <c:v>Resources</c:v>
                </c:pt>
                <c:pt idx="1">
                  <c:v>Industrial &amp; IT</c:v>
                </c:pt>
                <c:pt idx="2">
                  <c:v>Consumer &amp; Healthcare</c:v>
                </c:pt>
                <c:pt idx="3">
                  <c:v>Financials</c:v>
                </c:pt>
                <c:pt idx="4">
                  <c:v>Telecos and Utilities</c:v>
                </c:pt>
              </c:strCache>
            </c:strRef>
          </c:cat>
          <c:val>
            <c:numRef>
              <c:f>'Sector Weightings'!$C$11:$C$15</c:f>
              <c:numCache>
                <c:formatCode>0.0%</c:formatCode>
                <c:ptCount val="5"/>
                <c:pt idx="0">
                  <c:v>0.22</c:v>
                </c:pt>
                <c:pt idx="1">
                  <c:v>0.13</c:v>
                </c:pt>
                <c:pt idx="2">
                  <c:v>0.21</c:v>
                </c:pt>
                <c:pt idx="3">
                  <c:v>0.44</c:v>
                </c:pt>
                <c:pt idx="4">
                  <c:v>0</c:v>
                </c:pt>
              </c:numCache>
            </c:numRef>
          </c:val>
        </c:ser>
        <c:ser>
          <c:idx val="1"/>
          <c:order val="1"/>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multiLvlStrRef>
              <c:f>'Research 2'!$A$41:$E$58</c:f>
              <c:multiLvlStrCache>
                <c:ptCount val="16"/>
                <c:lvl>
                  <c:pt idx="0">
                    <c:v>Sector Exposure</c:v>
                  </c:pt>
                  <c:pt idx="2">
                    <c:v>Banks</c:v>
                  </c:pt>
                  <c:pt idx="3">
                    <c:v>Health Care Equipment &amp; Services</c:v>
                  </c:pt>
                  <c:pt idx="4">
                    <c:v>Banks</c:v>
                  </c:pt>
                  <c:pt idx="5">
                    <c:v>Food &amp; Staples Retailing</c:v>
                  </c:pt>
                  <c:pt idx="6">
                    <c:v>Transportation</c:v>
                  </c:pt>
                  <c:pt idx="7">
                    <c:v>Diversified Financials</c:v>
                  </c:pt>
                  <c:pt idx="8">
                    <c:v>Commercial &amp; Professional Services</c:v>
                  </c:pt>
                  <c:pt idx="9">
                    <c:v>Insurance</c:v>
                  </c:pt>
                  <c:pt idx="10">
                    <c:v>Materials</c:v>
                  </c:pt>
                  <c:pt idx="11">
                    <c:v>Materials</c:v>
                  </c:pt>
                  <c:pt idx="12">
                    <c:v>Pharmaceuticals, Biotechnology &amp; Life Sciences</c:v>
                  </c:pt>
                  <c:pt idx="13">
                    <c:v>Real Estate</c:v>
                  </c:pt>
                  <c:pt idx="14">
                    <c:v>Materials</c:v>
                  </c:pt>
                  <c:pt idx="15">
                    <c:v>Materials</c:v>
                  </c:pt>
                </c:lvl>
                <c:lvl>
                  <c:pt idx="0">
                    <c:v>Recommended Securities</c:v>
                  </c:pt>
                  <c:pt idx="2">
                    <c:v>National Australia Bank Limited</c:v>
                  </c:pt>
                  <c:pt idx="3">
                    <c:v>Sonic Healthcare Limited</c:v>
                  </c:pt>
                  <c:pt idx="4">
                    <c:v>Westpac Banking Corporation</c:v>
                  </c:pt>
                  <c:pt idx="5">
                    <c:v>Wesfarmers Limited</c:v>
                  </c:pt>
                  <c:pt idx="6">
                    <c:v>Transurban Group</c:v>
                  </c:pt>
                  <c:pt idx="7">
                    <c:v>Macquarie Group Limited</c:v>
                  </c:pt>
                  <c:pt idx="8">
                    <c:v>Brambles Limited</c:v>
                  </c:pt>
                  <c:pt idx="9">
                    <c:v>Insurance Australia Group Limited</c:v>
                  </c:pt>
                  <c:pt idx="10">
                    <c:v>Adelaide Brighton Limited</c:v>
                  </c:pt>
                  <c:pt idx="11">
                    <c:v>Amcor Limited</c:v>
                  </c:pt>
                  <c:pt idx="12">
                    <c:v>CSL Limited</c:v>
                  </c:pt>
                  <c:pt idx="13">
                    <c:v>Goodman Group</c:v>
                  </c:pt>
                  <c:pt idx="14">
                    <c:v>BHP Billiton Limited</c:v>
                  </c:pt>
                  <c:pt idx="15">
                    <c:v>DuluxGroup Limited</c:v>
                  </c:pt>
                </c:lvl>
                <c:lvl>
                  <c:pt idx="0">
                    <c:v>Code</c:v>
                  </c:pt>
                  <c:pt idx="2">
                    <c:v>NAB</c:v>
                  </c:pt>
                  <c:pt idx="3">
                    <c:v>SHL</c:v>
                  </c:pt>
                  <c:pt idx="4">
                    <c:v>WBC</c:v>
                  </c:pt>
                  <c:pt idx="5">
                    <c:v>WES</c:v>
                  </c:pt>
                  <c:pt idx="6">
                    <c:v>TCL</c:v>
                  </c:pt>
                  <c:pt idx="7">
                    <c:v>MQG</c:v>
                  </c:pt>
                  <c:pt idx="8">
                    <c:v>BXB</c:v>
                  </c:pt>
                  <c:pt idx="9">
                    <c:v>IAG</c:v>
                  </c:pt>
                  <c:pt idx="10">
                    <c:v>ABC</c:v>
                  </c:pt>
                  <c:pt idx="11">
                    <c:v>AMC</c:v>
                  </c:pt>
                  <c:pt idx="12">
                    <c:v>CSL</c:v>
                  </c:pt>
                  <c:pt idx="13">
                    <c:v>GMG</c:v>
                  </c:pt>
                  <c:pt idx="14">
                    <c:v>BHP</c:v>
                  </c:pt>
                  <c:pt idx="15">
                    <c:v>DLX</c:v>
                  </c:pt>
                </c:lvl>
              </c:multiLvlStrCache>
            </c:multiLvlStrRef>
          </c:cat>
          <c:val>
            <c:numRef>
              <c:f>'Research 2'!$F$41:$F$58</c:f>
              <c:numCache>
                <c:formatCode>General</c:formatCode>
                <c:ptCount val="16"/>
              </c:numCache>
            </c:numRef>
          </c:val>
        </c:ser>
        <c:ser>
          <c:idx val="2"/>
          <c:order val="2"/>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multiLvlStrRef>
              <c:f>'Research 2'!$A$41:$E$58</c:f>
              <c:multiLvlStrCache>
                <c:ptCount val="16"/>
                <c:lvl>
                  <c:pt idx="0">
                    <c:v>Sector Exposure</c:v>
                  </c:pt>
                  <c:pt idx="2">
                    <c:v>Banks</c:v>
                  </c:pt>
                  <c:pt idx="3">
                    <c:v>Health Care Equipment &amp; Services</c:v>
                  </c:pt>
                  <c:pt idx="4">
                    <c:v>Banks</c:v>
                  </c:pt>
                  <c:pt idx="5">
                    <c:v>Food &amp; Staples Retailing</c:v>
                  </c:pt>
                  <c:pt idx="6">
                    <c:v>Transportation</c:v>
                  </c:pt>
                  <c:pt idx="7">
                    <c:v>Diversified Financials</c:v>
                  </c:pt>
                  <c:pt idx="8">
                    <c:v>Commercial &amp; Professional Services</c:v>
                  </c:pt>
                  <c:pt idx="9">
                    <c:v>Insurance</c:v>
                  </c:pt>
                  <c:pt idx="10">
                    <c:v>Materials</c:v>
                  </c:pt>
                  <c:pt idx="11">
                    <c:v>Materials</c:v>
                  </c:pt>
                  <c:pt idx="12">
                    <c:v>Pharmaceuticals, Biotechnology &amp; Life Sciences</c:v>
                  </c:pt>
                  <c:pt idx="13">
                    <c:v>Real Estate</c:v>
                  </c:pt>
                  <c:pt idx="14">
                    <c:v>Materials</c:v>
                  </c:pt>
                  <c:pt idx="15">
                    <c:v>Materials</c:v>
                  </c:pt>
                </c:lvl>
                <c:lvl>
                  <c:pt idx="0">
                    <c:v>Recommended Securities</c:v>
                  </c:pt>
                  <c:pt idx="2">
                    <c:v>National Australia Bank Limited</c:v>
                  </c:pt>
                  <c:pt idx="3">
                    <c:v>Sonic Healthcare Limited</c:v>
                  </c:pt>
                  <c:pt idx="4">
                    <c:v>Westpac Banking Corporation</c:v>
                  </c:pt>
                  <c:pt idx="5">
                    <c:v>Wesfarmers Limited</c:v>
                  </c:pt>
                  <c:pt idx="6">
                    <c:v>Transurban Group</c:v>
                  </c:pt>
                  <c:pt idx="7">
                    <c:v>Macquarie Group Limited</c:v>
                  </c:pt>
                  <c:pt idx="8">
                    <c:v>Brambles Limited</c:v>
                  </c:pt>
                  <c:pt idx="9">
                    <c:v>Insurance Australia Group Limited</c:v>
                  </c:pt>
                  <c:pt idx="10">
                    <c:v>Adelaide Brighton Limited</c:v>
                  </c:pt>
                  <c:pt idx="11">
                    <c:v>Amcor Limited</c:v>
                  </c:pt>
                  <c:pt idx="12">
                    <c:v>CSL Limited</c:v>
                  </c:pt>
                  <c:pt idx="13">
                    <c:v>Goodman Group</c:v>
                  </c:pt>
                  <c:pt idx="14">
                    <c:v>BHP Billiton Limited</c:v>
                  </c:pt>
                  <c:pt idx="15">
                    <c:v>DuluxGroup Limited</c:v>
                  </c:pt>
                </c:lvl>
                <c:lvl>
                  <c:pt idx="0">
                    <c:v>Code</c:v>
                  </c:pt>
                  <c:pt idx="2">
                    <c:v>NAB</c:v>
                  </c:pt>
                  <c:pt idx="3">
                    <c:v>SHL</c:v>
                  </c:pt>
                  <c:pt idx="4">
                    <c:v>WBC</c:v>
                  </c:pt>
                  <c:pt idx="5">
                    <c:v>WES</c:v>
                  </c:pt>
                  <c:pt idx="6">
                    <c:v>TCL</c:v>
                  </c:pt>
                  <c:pt idx="7">
                    <c:v>MQG</c:v>
                  </c:pt>
                  <c:pt idx="8">
                    <c:v>BXB</c:v>
                  </c:pt>
                  <c:pt idx="9">
                    <c:v>IAG</c:v>
                  </c:pt>
                  <c:pt idx="10">
                    <c:v>ABC</c:v>
                  </c:pt>
                  <c:pt idx="11">
                    <c:v>AMC</c:v>
                  </c:pt>
                  <c:pt idx="12">
                    <c:v>CSL</c:v>
                  </c:pt>
                  <c:pt idx="13">
                    <c:v>GMG</c:v>
                  </c:pt>
                  <c:pt idx="14">
                    <c:v>BHP</c:v>
                  </c:pt>
                  <c:pt idx="15">
                    <c:v>DLX</c:v>
                  </c:pt>
                </c:lvl>
              </c:multiLvlStrCache>
            </c:multiLvlStrRef>
          </c:cat>
          <c:val>
            <c:numRef>
              <c:f>'Research 2'!$G$41:$G$58</c:f>
              <c:numCache>
                <c:formatCode>General</c:formatCode>
                <c:ptCount val="16"/>
                <c:pt idx="0">
                  <c:v>0</c:v>
                </c:pt>
                <c:pt idx="2" formatCode="0.0%">
                  <c:v>0.125</c:v>
                </c:pt>
                <c:pt idx="3" formatCode="0.0%">
                  <c:v>0.06</c:v>
                </c:pt>
                <c:pt idx="4" formatCode="0.0%">
                  <c:v>0.125</c:v>
                </c:pt>
                <c:pt idx="5" formatCode="0.0%">
                  <c:v>0.09</c:v>
                </c:pt>
                <c:pt idx="6" formatCode="0.0%">
                  <c:v>7.0000000000000007E-2</c:v>
                </c:pt>
                <c:pt idx="7" formatCode="0.0%">
                  <c:v>7.0000000000000007E-2</c:v>
                </c:pt>
                <c:pt idx="8" formatCode="0.0%">
                  <c:v>0.06</c:v>
                </c:pt>
                <c:pt idx="9" formatCode="0.0%">
                  <c:v>0.08</c:v>
                </c:pt>
                <c:pt idx="10" formatCode="0.0%">
                  <c:v>7.0000000000000007E-2</c:v>
                </c:pt>
                <c:pt idx="11" formatCode="0.0%">
                  <c:v>0.05</c:v>
                </c:pt>
                <c:pt idx="12" formatCode="0.0%">
                  <c:v>0.06</c:v>
                </c:pt>
                <c:pt idx="13" formatCode="0.0%">
                  <c:v>0.05</c:v>
                </c:pt>
                <c:pt idx="14" formatCode="0.0%">
                  <c:v>0.06</c:v>
                </c:pt>
                <c:pt idx="15" formatCode="0.0%">
                  <c:v>0.04</c:v>
                </c:pt>
              </c:numCache>
            </c:numRef>
          </c:val>
        </c:ser>
        <c:ser>
          <c:idx val="3"/>
          <c:order val="3"/>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multiLvlStrRef>
              <c:f>'Research 2'!$A$41:$E$58</c:f>
              <c:multiLvlStrCache>
                <c:ptCount val="16"/>
                <c:lvl>
                  <c:pt idx="0">
                    <c:v>Sector Exposure</c:v>
                  </c:pt>
                  <c:pt idx="2">
                    <c:v>Banks</c:v>
                  </c:pt>
                  <c:pt idx="3">
                    <c:v>Health Care Equipment &amp; Services</c:v>
                  </c:pt>
                  <c:pt idx="4">
                    <c:v>Banks</c:v>
                  </c:pt>
                  <c:pt idx="5">
                    <c:v>Food &amp; Staples Retailing</c:v>
                  </c:pt>
                  <c:pt idx="6">
                    <c:v>Transportation</c:v>
                  </c:pt>
                  <c:pt idx="7">
                    <c:v>Diversified Financials</c:v>
                  </c:pt>
                  <c:pt idx="8">
                    <c:v>Commercial &amp; Professional Services</c:v>
                  </c:pt>
                  <c:pt idx="9">
                    <c:v>Insurance</c:v>
                  </c:pt>
                  <c:pt idx="10">
                    <c:v>Materials</c:v>
                  </c:pt>
                  <c:pt idx="11">
                    <c:v>Materials</c:v>
                  </c:pt>
                  <c:pt idx="12">
                    <c:v>Pharmaceuticals, Biotechnology &amp; Life Sciences</c:v>
                  </c:pt>
                  <c:pt idx="13">
                    <c:v>Real Estate</c:v>
                  </c:pt>
                  <c:pt idx="14">
                    <c:v>Materials</c:v>
                  </c:pt>
                  <c:pt idx="15">
                    <c:v>Materials</c:v>
                  </c:pt>
                </c:lvl>
                <c:lvl>
                  <c:pt idx="0">
                    <c:v>Recommended Securities</c:v>
                  </c:pt>
                  <c:pt idx="2">
                    <c:v>National Australia Bank Limited</c:v>
                  </c:pt>
                  <c:pt idx="3">
                    <c:v>Sonic Healthcare Limited</c:v>
                  </c:pt>
                  <c:pt idx="4">
                    <c:v>Westpac Banking Corporation</c:v>
                  </c:pt>
                  <c:pt idx="5">
                    <c:v>Wesfarmers Limited</c:v>
                  </c:pt>
                  <c:pt idx="6">
                    <c:v>Transurban Group</c:v>
                  </c:pt>
                  <c:pt idx="7">
                    <c:v>Macquarie Group Limited</c:v>
                  </c:pt>
                  <c:pt idx="8">
                    <c:v>Brambles Limited</c:v>
                  </c:pt>
                  <c:pt idx="9">
                    <c:v>Insurance Australia Group Limited</c:v>
                  </c:pt>
                  <c:pt idx="10">
                    <c:v>Adelaide Brighton Limited</c:v>
                  </c:pt>
                  <c:pt idx="11">
                    <c:v>Amcor Limited</c:v>
                  </c:pt>
                  <c:pt idx="12">
                    <c:v>CSL Limited</c:v>
                  </c:pt>
                  <c:pt idx="13">
                    <c:v>Goodman Group</c:v>
                  </c:pt>
                  <c:pt idx="14">
                    <c:v>BHP Billiton Limited</c:v>
                  </c:pt>
                  <c:pt idx="15">
                    <c:v>DuluxGroup Limited</c:v>
                  </c:pt>
                </c:lvl>
                <c:lvl>
                  <c:pt idx="0">
                    <c:v>Code</c:v>
                  </c:pt>
                  <c:pt idx="2">
                    <c:v>NAB</c:v>
                  </c:pt>
                  <c:pt idx="3">
                    <c:v>SHL</c:v>
                  </c:pt>
                  <c:pt idx="4">
                    <c:v>WBC</c:v>
                  </c:pt>
                  <c:pt idx="5">
                    <c:v>WES</c:v>
                  </c:pt>
                  <c:pt idx="6">
                    <c:v>TCL</c:v>
                  </c:pt>
                  <c:pt idx="7">
                    <c:v>MQG</c:v>
                  </c:pt>
                  <c:pt idx="8">
                    <c:v>BXB</c:v>
                  </c:pt>
                  <c:pt idx="9">
                    <c:v>IAG</c:v>
                  </c:pt>
                  <c:pt idx="10">
                    <c:v>ABC</c:v>
                  </c:pt>
                  <c:pt idx="11">
                    <c:v>AMC</c:v>
                  </c:pt>
                  <c:pt idx="12">
                    <c:v>CSL</c:v>
                  </c:pt>
                  <c:pt idx="13">
                    <c:v>GMG</c:v>
                  </c:pt>
                  <c:pt idx="14">
                    <c:v>BHP</c:v>
                  </c:pt>
                  <c:pt idx="15">
                    <c:v>DLX</c:v>
                  </c:pt>
                </c:lvl>
              </c:multiLvlStrCache>
            </c:multiLvlStrRef>
          </c:cat>
          <c:val>
            <c:numRef>
              <c:f>'Research 2'!$H$41:$H$58</c:f>
              <c:numCache>
                <c:formatCode>General</c:formatCode>
                <c:ptCount val="16"/>
              </c:numCache>
            </c:numRef>
          </c:val>
        </c:ser>
        <c:dLbls>
          <c:showLegendKey val="0"/>
          <c:showVal val="1"/>
          <c:showCatName val="1"/>
          <c:showSerName val="0"/>
          <c:showPercent val="0"/>
          <c:showBubbleSize val="0"/>
          <c:showLeaderLines val="0"/>
        </c:dLbls>
      </c:pie3DChart>
      <c:spPr>
        <a:noFill/>
        <a:ln w="25400">
          <a:noFill/>
        </a:ln>
      </c:spPr>
    </c:plotArea>
    <c:plotVisOnly val="1"/>
    <c:dispBlanksAs val="zero"/>
    <c:showDLblsOverMax val="0"/>
  </c:chart>
  <c:spPr>
    <a:solidFill>
      <a:schemeClr val="bg1"/>
    </a:solidFill>
    <a:ln w="63500">
      <a:solidFill>
        <a:schemeClr val="tx1"/>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0.34211</cdr:x>
      <cdr:y>0.03</cdr:y>
    </cdr:from>
    <cdr:to>
      <cdr:x>0.75088</cdr:x>
      <cdr:y>0.12</cdr:y>
    </cdr:to>
    <cdr:sp macro="" textlink="">
      <cdr:nvSpPr>
        <cdr:cNvPr id="2" name="TextBox 1"/>
        <cdr:cNvSpPr txBox="1"/>
      </cdr:nvSpPr>
      <cdr:spPr>
        <a:xfrm xmlns:a="http://schemas.openxmlformats.org/drawingml/2006/main">
          <a:off x="1857375" y="142875"/>
          <a:ext cx="2219325" cy="428625"/>
        </a:xfrm>
        <a:prstGeom xmlns:a="http://schemas.openxmlformats.org/drawingml/2006/main" prst="rect">
          <a:avLst/>
        </a:prstGeom>
        <a:noFill xmlns:a="http://schemas.openxmlformats.org/drawingml/2006/main"/>
        <a:ln xmlns:a="http://schemas.openxmlformats.org/drawingml/2006/main" w="19050"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Overflow="clip" wrap="square" rtlCol="0" anchor="t"/>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pPr>
          <a:r>
            <a:rPr lang="en-AU" sz="2400" b="1"/>
            <a:t>Sector</a:t>
          </a:r>
          <a:r>
            <a:rPr lang="en-AU" sz="2400" b="1" baseline="0"/>
            <a:t> Exposure</a:t>
          </a:r>
          <a:endParaRPr lang="en-AU" sz="24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Commonwealth Bank</Company>
  <LinksUpToDate>false</LinksUpToDate>
  <CharactersWithSpaces>25241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Bugryn, Nicholas</dc:creator>
  <cp:keywords/>
  <dc:description/>
  <cp:lastModifiedBy>Bugryn, Nicholas</cp:lastModifiedBy>
  <cp:revision>1</cp:revision>
  <dcterms:created xsi:type="dcterms:W3CDTF">2018-12-05T00:15:00Z</dcterms:created>
  <dcterms:modified xsi:type="dcterms:W3CDTF">2018-12-05T00:41:00Z</dcterms:modified>
</cp:coreProperties>
</file>